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87853831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</w:rPr>
      </w:sdtEndPr>
      <w:sdtContent>
        <w:bookmarkStart w:id="0" w:name="_GoBack" w:displacedByCustomXml="prev"/>
        <w:bookmarkEnd w:id="0" w:displacedByCustomXml="prev"/>
        <w:p w:rsidR="006E03D3" w:rsidRPr="006E03D3" w:rsidRDefault="006E03D3" w:rsidP="006E03D3">
          <w:pPr>
            <w:pStyle w:val="Heading1"/>
            <w:rPr>
              <w:rFonts w:ascii="Times New Roman" w:hAnsi="Times New Roman" w:cs="Times New Roman"/>
              <w:noProof/>
              <w:color w:val="auto"/>
            </w:rPr>
          </w:pPr>
          <w:r w:rsidRPr="008E5C2B">
            <w:rPr>
              <w:rFonts w:ascii="Times New Roman" w:hAnsi="Times New Roman" w:cs="Times New Roman"/>
              <w:color w:val="auto"/>
            </w:rPr>
            <w:t>ACF 2009 January – June Presentations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rPr>
              <w:rStyle w:val="Hyperlink"/>
              <w:noProof/>
            </w:rPr>
            <w:fldChar w:fldCharType="begin"/>
          </w:r>
          <w:r>
            <w:rPr>
              <w:rStyle w:val="Hyperlink"/>
              <w:noProof/>
            </w:rPr>
            <w:instrText xml:space="preserve"> COMMENTS   \* MERGEFORMAT </w:instrText>
          </w:r>
          <w:r>
            <w:rPr>
              <w:rStyle w:val="Hyperlink"/>
              <w:noProof/>
            </w:rPr>
            <w:fldChar w:fldCharType="end"/>
          </w:r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54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Bender, Lucas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55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Bouley, Renee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56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Brown, Sarah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57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Craft, Nathan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58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DeLaMarre, Michael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59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Dobb, Molly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0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Foster, Dean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1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Hagler, Rebecca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2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Haines, Brandon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3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Herrema, David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4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Heerema, Sonya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5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Heldt, Lindsey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6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Hipshear, Nora Jane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7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Horsford, Eric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8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Kelly, Meghan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69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Leedy, Katy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70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Loutzenhiser, Derek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71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Mitchell, Amanda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72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Prominski, Patrick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73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Smith, Stephanie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74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Stahl, Katee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75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Tomlinson, Jenna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76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Whims, MacKenzie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6179477" w:history="1">
            <w:r w:rsidRPr="00346EA8">
              <w:rPr>
                <w:rStyle w:val="Hyperlink"/>
                <w:rFonts w:ascii="Times New Roman" w:eastAsiaTheme="majorEastAsia" w:hAnsi="Times New Roman" w:cs="Times New Roman"/>
                <w:b/>
                <w:bCs/>
                <w:noProof/>
              </w:rPr>
              <w:t>Workman, Candice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_Toc456179477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E03D3" w:rsidRDefault="006E03D3">
          <w:r>
            <w:rPr>
              <w:b/>
              <w:bCs/>
              <w:noProof/>
            </w:rPr>
            <w:fldChar w:fldCharType="end"/>
          </w:r>
        </w:p>
      </w:sdtContent>
    </w:sdt>
    <w:p w:rsidR="006E03D3" w:rsidRDefault="006E03D3">
      <w:pPr>
        <w:spacing w:after="160" w:line="259" w:lineRule="auto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" w:name="_Toc456179453"/>
      <w:r>
        <w:rPr>
          <w:rFonts w:ascii="Times New Roman" w:hAnsi="Times New Roman" w:cs="Times New Roman"/>
        </w:rPr>
        <w:br w:type="page"/>
      </w:r>
    </w:p>
    <w:p w:rsidR="006E03D3" w:rsidRPr="008E5C2B" w:rsidRDefault="006E03D3" w:rsidP="006E03D3">
      <w:pPr>
        <w:pStyle w:val="Heading1"/>
        <w:rPr>
          <w:rFonts w:ascii="Times New Roman" w:hAnsi="Times New Roman" w:cs="Times New Roman"/>
          <w:color w:val="auto"/>
        </w:rPr>
      </w:pPr>
      <w:r w:rsidRPr="008E5C2B">
        <w:rPr>
          <w:rFonts w:ascii="Times New Roman" w:hAnsi="Times New Roman" w:cs="Times New Roman"/>
          <w:color w:val="auto"/>
        </w:rPr>
        <w:lastRenderedPageBreak/>
        <w:t>ACF 2009 January – June Presentations</w:t>
      </w:r>
      <w:bookmarkEnd w:id="1"/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" w:name="_Toc446074733"/>
      <w:bookmarkStart w:id="3" w:name="_Toc446684914"/>
      <w:bookmarkStart w:id="4" w:name="_Toc456179454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Bender, Lucas</w:t>
      </w:r>
      <w:bookmarkEnd w:id="2"/>
      <w:bookmarkEnd w:id="3"/>
      <w:bookmarkEnd w:id="4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25th Annual Society for the Advancement of Management Case Competition: Sustainability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“Recommendation to better Wynn Resorts,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>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5" w:name="_Toc446074734"/>
      <w:bookmarkStart w:id="6" w:name="_Toc446684915"/>
      <w:bookmarkStart w:id="7" w:name="_Toc456179455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Bouley, Renee</w:t>
      </w:r>
      <w:bookmarkEnd w:id="5"/>
      <w:bookmarkEnd w:id="6"/>
      <w:bookmarkEnd w:id="7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January </w:t>
      </w:r>
      <w:r>
        <w:rPr>
          <w:rFonts w:ascii="Times New Roman" w:hAnsi="Times New Roman" w:cs="Times New Roman"/>
          <w:sz w:val="24"/>
          <w:szCs w:val="24"/>
        </w:rPr>
        <w:t>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Great Lakes Regional Meeting of the American Chemical Society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Bioelectrochemical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 xml:space="preserve"> Catalysis on Mars”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8" w:name="_Toc446074735"/>
      <w:bookmarkStart w:id="9" w:name="_Toc446684916"/>
      <w:bookmarkStart w:id="10" w:name="_Toc456179456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Brown, Sarah</w:t>
      </w:r>
      <w:bookmarkEnd w:id="8"/>
      <w:bookmarkEnd w:id="9"/>
      <w:bookmarkEnd w:id="10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Michigan Society for Clinical Laboratory Science 2009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“The Importance of Culturing All Negative Specimens from the Rapid Strep </w:t>
      </w:r>
      <w:proofErr w:type="gramStart"/>
      <w:r w:rsidRPr="006303A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03A0">
        <w:rPr>
          <w:rFonts w:ascii="Times New Roman" w:hAnsi="Times New Roman" w:cs="Times New Roman"/>
          <w:sz w:val="24"/>
          <w:szCs w:val="24"/>
        </w:rPr>
        <w:t xml:space="preserve"> Antigen Screen”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1" w:name="_Toc446074736"/>
      <w:bookmarkStart w:id="12" w:name="_Toc446684917"/>
      <w:bookmarkStart w:id="13" w:name="_Toc456179457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Craft, Nathan</w:t>
      </w:r>
      <w:bookmarkEnd w:id="11"/>
      <w:bookmarkEnd w:id="12"/>
      <w:bookmarkEnd w:id="13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The 237th American Chemistry Society National Meeting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“Cyclohexene Derivatives in Transfer Hydrogenation”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lastRenderedPageBreak/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4" w:name="_Toc446074737"/>
      <w:bookmarkStart w:id="15" w:name="_Toc446684918"/>
      <w:bookmarkStart w:id="16" w:name="_Toc456179458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DeLaMarre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, Michael</w:t>
      </w:r>
      <w:bookmarkEnd w:id="14"/>
      <w:bookmarkEnd w:id="15"/>
      <w:bookmarkEnd w:id="16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Pittsburg Conference 2009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“Capillary Electrophoresis: Affinity and Chiral”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7" w:name="_Toc446074738"/>
      <w:bookmarkStart w:id="18" w:name="_Toc446684919"/>
      <w:bookmarkStart w:id="19" w:name="_Toc456179459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Dobb, Molly</w:t>
      </w:r>
      <w:bookmarkEnd w:id="17"/>
      <w:bookmarkEnd w:id="18"/>
      <w:bookmarkEnd w:id="19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Michigan Society for Clinical Laboratory Sciences 2009 Spring Meeting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“Automation of Sample Preparation for the Comparison of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Hologic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 xml:space="preserve"> Invader Technology Human Papillomavirus (HPV) DNA Testing to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Digene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 xml:space="preserve"> Hybrid Capture 2 High-Risk HPV DNA Testing”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303A0">
        <w:rPr>
          <w:rFonts w:ascii="Times New Roman" w:hAnsi="Times New Roman" w:cs="Times New Roman"/>
          <w:b/>
          <w:sz w:val="24"/>
          <w:szCs w:val="24"/>
        </w:rPr>
        <w:t>Eggelston</w:t>
      </w:r>
      <w:proofErr w:type="spellEnd"/>
      <w:r w:rsidRPr="006303A0">
        <w:rPr>
          <w:rFonts w:ascii="Times New Roman" w:hAnsi="Times New Roman" w:cs="Times New Roman"/>
          <w:b/>
          <w:sz w:val="24"/>
          <w:szCs w:val="24"/>
        </w:rPr>
        <w:t>, Benjamin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38th Great Lakes Regional Meeting of the American Chemical Society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“Widespread Chemical Warfare Agent Sensors”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0" w:name="_Toc446074739"/>
      <w:bookmarkStart w:id="21" w:name="_Toc446684920"/>
      <w:bookmarkStart w:id="22" w:name="_Toc456179460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Foster, Dean</w:t>
      </w:r>
      <w:bookmarkEnd w:id="20"/>
      <w:bookmarkEnd w:id="21"/>
      <w:bookmarkEnd w:id="22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World Ceramics Biennale 2009 Korea Conference and International Society for Ceramic Art Education and Exchange Symposium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“GVSU and SNUT (Seoul National University of Technology) Ceramics Collaborative Project”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3" w:name="_Toc446074740"/>
      <w:bookmarkStart w:id="24" w:name="_Toc446684921"/>
      <w:bookmarkStart w:id="25" w:name="_Toc456179461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Hagler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, Rebecca</w:t>
      </w:r>
      <w:bookmarkEnd w:id="23"/>
      <w:bookmarkEnd w:id="24"/>
      <w:bookmarkEnd w:id="25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World Ceramics Biennale 2009 Korea Conference and International Society for Ceramic Art Education and Exchange Symposium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“GVSU and SNUT (Seoul National University of Technology) Ceramics Collaborative Project”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6" w:name="_Toc446074741"/>
      <w:bookmarkStart w:id="27" w:name="_Toc446684922"/>
      <w:bookmarkStart w:id="28" w:name="_Toc456179462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Haines, Brandon</w:t>
      </w:r>
      <w:bookmarkEnd w:id="26"/>
      <w:bookmarkEnd w:id="27"/>
      <w:bookmarkEnd w:id="28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The 237th American Chemistry Society National Meeting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“Novel Copper and Amine Free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Sonogashira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 xml:space="preserve"> Coupling in the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Alkynylation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 xml:space="preserve"> of 2’-deoxyadenosine”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9" w:name="_Toc446074742"/>
      <w:bookmarkStart w:id="30" w:name="_Toc446684923"/>
      <w:bookmarkStart w:id="31" w:name="_Toc456179463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Herrema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, David</w:t>
      </w:r>
      <w:bookmarkEnd w:id="29"/>
      <w:bookmarkEnd w:id="30"/>
      <w:bookmarkEnd w:id="31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25th Annual Society for the Advancement of Management Case Competition: Sustainability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“Recommendation to better Wynn Resorts,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>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2" w:name="_Toc446074743"/>
      <w:bookmarkStart w:id="33" w:name="_Toc446684924"/>
      <w:bookmarkStart w:id="34" w:name="_Toc456179464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Heerema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, Sonya</w:t>
      </w:r>
      <w:bookmarkEnd w:id="32"/>
      <w:bookmarkEnd w:id="33"/>
      <w:bookmarkEnd w:id="34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Michigan Society for Clinical Laboratory Sciences 2009 Spring Meeting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“Can EDTA tubes be used to perform a LAP stain?”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5" w:name="_Toc446074744"/>
      <w:bookmarkStart w:id="36" w:name="_Toc446684925"/>
      <w:bookmarkStart w:id="37" w:name="_Toc456179465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Heldt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, Lindsey</w:t>
      </w:r>
      <w:bookmarkEnd w:id="35"/>
      <w:bookmarkEnd w:id="36"/>
      <w:bookmarkEnd w:id="37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Michigan Academy of Science, Arts, and Letters Annual Meeting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“The Effect of Intracellular and Extracellular Density on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Gravitropic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 xml:space="preserve"> Curvature of Rice Roots”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38" w:name="_Toc446074745"/>
      <w:bookmarkStart w:id="39" w:name="_Toc446684926"/>
      <w:bookmarkStart w:id="40" w:name="_Toc456179466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Hipshear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, Nora Jane</w:t>
      </w:r>
      <w:bookmarkEnd w:id="38"/>
      <w:bookmarkEnd w:id="39"/>
      <w:bookmarkEnd w:id="40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World Ceramics Biennale 2009 Korea Conference and International Society for Ceramic Art Education and Exchange Symposium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“GVSU and SNUT (Seoul National University of Technology) Ceramics Collaborative Project”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41" w:name="_Toc446074746"/>
      <w:bookmarkStart w:id="42" w:name="_Toc446684927"/>
      <w:bookmarkStart w:id="43" w:name="_Toc456179467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Horsford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4"/>
        </w:rPr>
        <w:t>, Eric</w:t>
      </w:r>
      <w:bookmarkEnd w:id="41"/>
      <w:bookmarkEnd w:id="42"/>
      <w:bookmarkEnd w:id="43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25th Annual Society for the Advancement of Management Case Competition: Sustainability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“Recommendation to better Wynn Resorts,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>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lastRenderedPageBreak/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44" w:name="_Toc446074747"/>
      <w:bookmarkStart w:id="45" w:name="_Toc446684928"/>
      <w:bookmarkStart w:id="46" w:name="_Toc456179468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Kelly, Meghan</w:t>
      </w:r>
      <w:bookmarkEnd w:id="44"/>
      <w:bookmarkEnd w:id="45"/>
      <w:bookmarkEnd w:id="46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World Ceramics Biennale 2009 Korea Conference and International Society for Ceramic Art Education and Exchange Symposium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“GVSU and SNUT (Seoul National University of Technology) Ceramics Collaborative Project”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47" w:name="_Toc446074748"/>
      <w:bookmarkStart w:id="48" w:name="_Toc446684929"/>
      <w:bookmarkStart w:id="49" w:name="_Toc456179469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Leedy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, Katy</w:t>
      </w:r>
      <w:bookmarkEnd w:id="47"/>
      <w:bookmarkEnd w:id="48"/>
      <w:bookmarkEnd w:id="49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The Louisville Conference on Literature and Culture Since 1900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“Resisting Colonization: The Priest, the Pole, and the Peacock in Flannery O’Connor’s The Displaced Person”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50" w:name="_Toc446074749"/>
      <w:bookmarkStart w:id="51" w:name="_Toc446684930"/>
      <w:bookmarkStart w:id="52" w:name="_Toc456179470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Loutzenhiser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, Derek</w:t>
      </w:r>
      <w:bookmarkEnd w:id="50"/>
      <w:bookmarkEnd w:id="51"/>
      <w:bookmarkEnd w:id="52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Great Lakes Regional Meeting of the American Chemical Society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Bioelectrochemical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 xml:space="preserve"> Catalysis on Mars”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53" w:name="_Toc446074750"/>
      <w:bookmarkStart w:id="54" w:name="_Toc446684931"/>
      <w:bookmarkStart w:id="55" w:name="_Toc456179471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Mitchell, Amanda</w:t>
      </w:r>
      <w:bookmarkEnd w:id="53"/>
      <w:bookmarkEnd w:id="54"/>
      <w:bookmarkEnd w:id="55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Midwestern Psychological Association Conference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lastRenderedPageBreak/>
        <w:t>“Predicting Cosmetic Surgery Attitudes among College Women”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56" w:name="_Toc446074751"/>
      <w:bookmarkStart w:id="57" w:name="_Toc446684932"/>
      <w:bookmarkStart w:id="58" w:name="_Toc456179472"/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Prominski</w:t>
      </w:r>
      <w:proofErr w:type="spellEnd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, Patrick</w:t>
      </w:r>
      <w:bookmarkEnd w:id="56"/>
      <w:bookmarkEnd w:id="57"/>
      <w:bookmarkEnd w:id="58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The Louisville Conference on Literature and Culture Since 1900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“Tradition and Technology: New Media Connections in the “Aeolus” Episode of James Joyce’s Ulysses”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59" w:name="_Toc446074752"/>
      <w:bookmarkStart w:id="60" w:name="_Toc446684933"/>
      <w:bookmarkStart w:id="61" w:name="_Toc456179473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Smith, Stephanie</w:t>
      </w:r>
      <w:bookmarkEnd w:id="59"/>
      <w:bookmarkEnd w:id="60"/>
      <w:bookmarkEnd w:id="61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Michigan Society for Clinical Laboratory Science 2009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“The Importance of Culturing All Negative Specimens from the Rapid Strep </w:t>
      </w:r>
      <w:proofErr w:type="gramStart"/>
      <w:r w:rsidRPr="006303A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303A0">
        <w:rPr>
          <w:rFonts w:ascii="Times New Roman" w:hAnsi="Times New Roman" w:cs="Times New Roman"/>
          <w:sz w:val="24"/>
          <w:szCs w:val="24"/>
        </w:rPr>
        <w:t xml:space="preserve"> Antigen Screen”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62" w:name="_Toc446074753"/>
      <w:bookmarkStart w:id="63" w:name="_Toc446684934"/>
      <w:bookmarkStart w:id="64" w:name="_Toc456179474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Stahl, Katee</w:t>
      </w:r>
      <w:bookmarkEnd w:id="62"/>
      <w:bookmarkEnd w:id="63"/>
      <w:bookmarkEnd w:id="64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American Criminal Justice Society Annual Meeting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“The Use of Developmentally Appropriate Services in Juvenile Drug Treatment Court”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65" w:name="_Toc446074754"/>
      <w:bookmarkStart w:id="66" w:name="_Toc446684935"/>
      <w:bookmarkStart w:id="67" w:name="_Toc456179475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Tomlinson, Jenna</w:t>
      </w:r>
      <w:bookmarkEnd w:id="65"/>
      <w:bookmarkEnd w:id="66"/>
      <w:bookmarkEnd w:id="67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lastRenderedPageBreak/>
        <w:t>American Society of Biochemistry and Molecular Biology (ASBMB)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 xml:space="preserve">“Effects of Asn152 mutation on substrate selectivity of P99 </w:t>
      </w:r>
      <w:proofErr w:type="spellStart"/>
      <w:r w:rsidRPr="006303A0">
        <w:rPr>
          <w:rFonts w:ascii="Times New Roman" w:hAnsi="Times New Roman" w:cs="Times New Roman"/>
          <w:sz w:val="24"/>
          <w:szCs w:val="24"/>
        </w:rPr>
        <w:t>cephalosporinase</w:t>
      </w:r>
      <w:proofErr w:type="spellEnd"/>
      <w:r w:rsidRPr="006303A0">
        <w:rPr>
          <w:rFonts w:ascii="Times New Roman" w:hAnsi="Times New Roman" w:cs="Times New Roman"/>
          <w:sz w:val="24"/>
          <w:szCs w:val="24"/>
        </w:rPr>
        <w:t>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68" w:name="_Toc446074755"/>
      <w:bookmarkStart w:id="69" w:name="_Toc446684936"/>
      <w:bookmarkStart w:id="70" w:name="_Toc456179476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 xml:space="preserve">Whims, </w:t>
      </w:r>
      <w:proofErr w:type="spellStart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MacKenzie</w:t>
      </w:r>
      <w:bookmarkEnd w:id="68"/>
      <w:bookmarkEnd w:id="69"/>
      <w:bookmarkEnd w:id="70"/>
      <w:proofErr w:type="spellEnd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World Ceramics Biennale 2009 Korea Conference and International Society for Ceramic Art Education and Exchange Symposium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“GVSU and SNUT (Seoul National University of Technology) Ceramics Collaborative Project”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keepNext/>
        <w:keepLines/>
        <w:spacing w:after="0" w:line="36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8"/>
        </w:rPr>
      </w:pPr>
      <w:bookmarkStart w:id="71" w:name="_Toc446074756"/>
      <w:bookmarkStart w:id="72" w:name="_Toc446684937"/>
      <w:bookmarkStart w:id="73" w:name="_Toc456179477"/>
      <w:r w:rsidRPr="006303A0">
        <w:rPr>
          <w:rFonts w:ascii="Times New Roman" w:eastAsiaTheme="majorEastAsia" w:hAnsi="Times New Roman" w:cs="Times New Roman"/>
          <w:b/>
          <w:bCs/>
          <w:sz w:val="24"/>
          <w:szCs w:val="28"/>
        </w:rPr>
        <w:t>Workman, Candice</w:t>
      </w:r>
      <w:bookmarkEnd w:id="71"/>
      <w:bookmarkEnd w:id="72"/>
      <w:bookmarkEnd w:id="73"/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- June FY09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Michigan Society for Clinical Laboratory Sciences 2009 Spring Meeting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“Can EDTA tubes be used to perform a LAP stain?”</w:t>
      </w:r>
    </w:p>
    <w:p w:rsidR="006E03D3" w:rsidRPr="006303A0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E03D3" w:rsidRDefault="006E03D3" w:rsidP="006E03D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03A0">
        <w:rPr>
          <w:rFonts w:ascii="Times New Roman" w:hAnsi="Times New Roman" w:cs="Times New Roman"/>
          <w:sz w:val="24"/>
          <w:szCs w:val="24"/>
        </w:rPr>
        <w:t>No Abstract.</w:t>
      </w:r>
    </w:p>
    <w:p w:rsidR="00BB5D70" w:rsidRDefault="00BB5D70"/>
    <w:sectPr w:rsidR="00BB5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151" w:rsidRDefault="003D6151" w:rsidP="006E03D3">
      <w:pPr>
        <w:spacing w:after="0" w:line="240" w:lineRule="auto"/>
      </w:pPr>
      <w:r>
        <w:separator/>
      </w:r>
    </w:p>
  </w:endnote>
  <w:endnote w:type="continuationSeparator" w:id="0">
    <w:p w:rsidR="003D6151" w:rsidRDefault="003D6151" w:rsidP="006E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151" w:rsidRDefault="003D6151" w:rsidP="006E03D3">
      <w:pPr>
        <w:spacing w:after="0" w:line="240" w:lineRule="auto"/>
      </w:pPr>
      <w:r>
        <w:separator/>
      </w:r>
    </w:p>
  </w:footnote>
  <w:footnote w:type="continuationSeparator" w:id="0">
    <w:p w:rsidR="003D6151" w:rsidRDefault="003D6151" w:rsidP="006E03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3D3"/>
    <w:rsid w:val="003D6151"/>
    <w:rsid w:val="006E03D3"/>
    <w:rsid w:val="00BB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60B849-4488-4092-B805-14302C14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3D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E03D3"/>
    <w:pPr>
      <w:keepNext/>
      <w:keepLine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3D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E03D3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E03D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E03D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3D3"/>
  </w:style>
  <w:style w:type="paragraph" w:styleId="Footer">
    <w:name w:val="footer"/>
    <w:basedOn w:val="Normal"/>
    <w:link w:val="FooterChar"/>
    <w:uiPriority w:val="99"/>
    <w:unhideWhenUsed/>
    <w:rsid w:val="006E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78156-B7C8-4CDB-A86D-841903D1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Huber</dc:creator>
  <cp:keywords/>
  <dc:description/>
  <cp:lastModifiedBy>Alicia Huber</cp:lastModifiedBy>
  <cp:revision>1</cp:revision>
  <dcterms:created xsi:type="dcterms:W3CDTF">2016-07-13T17:11:00Z</dcterms:created>
  <dcterms:modified xsi:type="dcterms:W3CDTF">2016-07-13T17:24:00Z</dcterms:modified>
</cp:coreProperties>
</file>