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E2A" w:rsidRPr="00B81E2A" w:rsidRDefault="00B81E2A" w:rsidP="00A760B6">
      <w:pPr>
        <w:pStyle w:val="Heading1"/>
        <w:spacing w:line="480" w:lineRule="auto"/>
        <w:rPr>
          <w:rFonts w:eastAsia="Times New Roman"/>
          <w:noProof/>
        </w:rPr>
      </w:pPr>
      <w:hyperlink w:anchor="_Toc447117078" w:history="1">
        <w:r w:rsidRPr="00B81E2A">
          <w:rPr>
            <w:rFonts w:eastAsia="Times New Roman"/>
            <w:noProof/>
          </w:rPr>
          <w:t>ACF 2014 January - March Presentations</w:t>
        </w:r>
        <w:r w:rsidRPr="00B81E2A">
          <w:rPr>
            <w:rFonts w:eastAsia="Times New Roman"/>
            <w:noProof/>
            <w:webHidden/>
          </w:rPr>
          <w:tab/>
        </w:r>
      </w:hyperlink>
      <w:bookmarkStart w:id="0" w:name="_GoBack"/>
      <w:bookmarkEnd w:id="0"/>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79" w:history="1">
        <w:r w:rsidR="00B81E2A" w:rsidRPr="00B81E2A">
          <w:rPr>
            <w:rFonts w:ascii="Times New Roman" w:eastAsia="Times New Roman" w:hAnsi="Times New Roman" w:cs="Times New Roman"/>
            <w:b/>
            <w:bCs/>
            <w:i/>
            <w:noProof/>
            <w:sz w:val="24"/>
          </w:rPr>
          <w:t>Auten, Justin</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0" w:history="1">
        <w:r w:rsidR="00B81E2A" w:rsidRPr="00B81E2A">
          <w:rPr>
            <w:rFonts w:ascii="Times New Roman" w:eastAsia="Times New Roman" w:hAnsi="Times New Roman" w:cs="Times New Roman"/>
            <w:b/>
            <w:bCs/>
            <w:i/>
            <w:noProof/>
            <w:sz w:val="24"/>
          </w:rPr>
          <w:t>Chaness, Samantha</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1" w:history="1">
        <w:r w:rsidR="00B81E2A" w:rsidRPr="00B81E2A">
          <w:rPr>
            <w:rFonts w:ascii="Times New Roman" w:eastAsia="Times New Roman" w:hAnsi="Times New Roman" w:cs="Times New Roman"/>
            <w:b/>
            <w:bCs/>
            <w:i/>
            <w:noProof/>
            <w:sz w:val="24"/>
          </w:rPr>
          <w:t>Darnell, Matthew</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2" w:history="1">
        <w:r w:rsidR="00B81E2A" w:rsidRPr="00B81E2A">
          <w:rPr>
            <w:rFonts w:ascii="Times New Roman" w:eastAsia="Times New Roman" w:hAnsi="Times New Roman" w:cs="Times New Roman"/>
            <w:b/>
            <w:bCs/>
            <w:i/>
            <w:noProof/>
            <w:sz w:val="24"/>
          </w:rPr>
          <w:t>Duebner, Thomas</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2</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3" w:history="1">
        <w:r w:rsidR="00B81E2A" w:rsidRPr="00B81E2A">
          <w:rPr>
            <w:rFonts w:ascii="Times New Roman" w:eastAsia="Times New Roman" w:hAnsi="Times New Roman" w:cs="Times New Roman"/>
            <w:b/>
            <w:bCs/>
            <w:i/>
            <w:noProof/>
            <w:sz w:val="24"/>
          </w:rPr>
          <w:t>Ellis, Gabriel</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2</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4" w:history="1">
        <w:r w:rsidR="00B81E2A" w:rsidRPr="00B81E2A">
          <w:rPr>
            <w:rFonts w:ascii="Times New Roman" w:eastAsia="Times New Roman" w:hAnsi="Times New Roman" w:cs="Times New Roman"/>
            <w:b/>
            <w:bCs/>
            <w:i/>
            <w:noProof/>
            <w:sz w:val="24"/>
          </w:rPr>
          <w:t>Farrell, Ryan</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3</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5" w:history="1">
        <w:r w:rsidR="00B81E2A" w:rsidRPr="00B81E2A">
          <w:rPr>
            <w:rFonts w:ascii="Times New Roman" w:eastAsia="Times New Roman" w:hAnsi="Times New Roman" w:cs="Times New Roman"/>
            <w:b/>
            <w:bCs/>
            <w:i/>
            <w:noProof/>
            <w:sz w:val="24"/>
          </w:rPr>
          <w:t>Feiner, Erin</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3</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6" w:history="1">
        <w:r w:rsidR="00B81E2A" w:rsidRPr="00B81E2A">
          <w:rPr>
            <w:rFonts w:ascii="Times New Roman" w:eastAsia="Times New Roman" w:hAnsi="Times New Roman" w:cs="Times New Roman"/>
            <w:b/>
            <w:bCs/>
            <w:i/>
            <w:noProof/>
            <w:sz w:val="24"/>
          </w:rPr>
          <w:t>Fowler, Matthew</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4</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7" w:history="1">
        <w:r w:rsidR="00B81E2A" w:rsidRPr="00B81E2A">
          <w:rPr>
            <w:rFonts w:ascii="Times New Roman" w:eastAsia="Times New Roman" w:hAnsi="Times New Roman" w:cs="Times New Roman"/>
            <w:b/>
            <w:bCs/>
            <w:i/>
            <w:noProof/>
            <w:sz w:val="24"/>
          </w:rPr>
          <w:t>Gilmour, Aynsley</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4</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8" w:history="1">
        <w:r w:rsidR="00B81E2A" w:rsidRPr="00B81E2A">
          <w:rPr>
            <w:rFonts w:ascii="Times New Roman" w:eastAsia="Times New Roman" w:hAnsi="Times New Roman" w:cs="Times New Roman"/>
            <w:b/>
            <w:bCs/>
            <w:i/>
            <w:noProof/>
            <w:sz w:val="24"/>
          </w:rPr>
          <w:t>Hanson, Kelsey</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4</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89" w:history="1">
        <w:r w:rsidR="00B81E2A" w:rsidRPr="00B81E2A">
          <w:rPr>
            <w:rFonts w:ascii="Times New Roman" w:eastAsia="Times New Roman" w:hAnsi="Times New Roman" w:cs="Times New Roman"/>
            <w:b/>
            <w:bCs/>
            <w:i/>
            <w:noProof/>
            <w:sz w:val="24"/>
          </w:rPr>
          <w:t>Kiel, Jesse</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5</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0" w:history="1">
        <w:r w:rsidR="00B81E2A" w:rsidRPr="00B81E2A">
          <w:rPr>
            <w:rFonts w:ascii="Times New Roman" w:eastAsia="Times New Roman" w:hAnsi="Times New Roman" w:cs="Times New Roman"/>
            <w:b/>
            <w:bCs/>
            <w:i/>
            <w:noProof/>
            <w:sz w:val="24"/>
          </w:rPr>
          <w:t>Lendman, Megan</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5</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1" w:history="1">
        <w:r w:rsidR="00B81E2A" w:rsidRPr="00B81E2A">
          <w:rPr>
            <w:rFonts w:ascii="Times New Roman" w:eastAsia="Times New Roman" w:hAnsi="Times New Roman" w:cs="Times New Roman"/>
            <w:b/>
            <w:bCs/>
            <w:i/>
            <w:noProof/>
            <w:sz w:val="24"/>
          </w:rPr>
          <w:t>Lo, David</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6</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2" w:history="1">
        <w:r w:rsidR="00B81E2A" w:rsidRPr="00B81E2A">
          <w:rPr>
            <w:rFonts w:ascii="Times New Roman" w:eastAsia="Times New Roman" w:hAnsi="Times New Roman" w:cs="Times New Roman"/>
            <w:b/>
            <w:bCs/>
            <w:i/>
            <w:noProof/>
            <w:sz w:val="24"/>
          </w:rPr>
          <w:t>Mackey, Justin</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7</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3" w:history="1">
        <w:r w:rsidR="00B81E2A" w:rsidRPr="00B81E2A">
          <w:rPr>
            <w:rFonts w:ascii="Times New Roman" w:eastAsia="Times New Roman" w:hAnsi="Times New Roman" w:cs="Times New Roman"/>
            <w:b/>
            <w:bCs/>
            <w:i/>
            <w:noProof/>
            <w:sz w:val="24"/>
          </w:rPr>
          <w:t>Maclean, Tighe</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8</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4" w:history="1">
        <w:r w:rsidR="00B81E2A" w:rsidRPr="00B81E2A">
          <w:rPr>
            <w:rFonts w:ascii="Times New Roman" w:eastAsia="Times New Roman" w:hAnsi="Times New Roman" w:cs="Times New Roman"/>
            <w:b/>
            <w:bCs/>
            <w:i/>
            <w:noProof/>
            <w:sz w:val="24"/>
          </w:rPr>
          <w:t>Malfroid, Martin</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8</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5" w:history="1">
        <w:r w:rsidR="00B81E2A" w:rsidRPr="00B81E2A">
          <w:rPr>
            <w:rFonts w:ascii="Times New Roman" w:eastAsia="Times New Roman" w:hAnsi="Times New Roman" w:cs="Times New Roman"/>
            <w:b/>
            <w:bCs/>
            <w:i/>
            <w:noProof/>
            <w:sz w:val="24"/>
          </w:rPr>
          <w:t>Maloff, Ashley</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8</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6" w:history="1">
        <w:r w:rsidR="00B81E2A" w:rsidRPr="00B81E2A">
          <w:rPr>
            <w:rFonts w:ascii="Times New Roman" w:eastAsia="Times New Roman" w:hAnsi="Times New Roman" w:cs="Times New Roman"/>
            <w:b/>
            <w:bCs/>
            <w:i/>
            <w:noProof/>
            <w:sz w:val="24"/>
          </w:rPr>
          <w:t>McCullough, Caitlin</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9</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7" w:history="1">
        <w:r w:rsidR="00B81E2A" w:rsidRPr="00B81E2A">
          <w:rPr>
            <w:rFonts w:ascii="Times New Roman" w:eastAsia="Times New Roman" w:hAnsi="Times New Roman" w:cs="Times New Roman"/>
            <w:b/>
            <w:bCs/>
            <w:i/>
            <w:noProof/>
            <w:sz w:val="24"/>
          </w:rPr>
          <w:t>Nykamp, Trevor</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10</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8" w:history="1">
        <w:r w:rsidR="00B81E2A" w:rsidRPr="00B81E2A">
          <w:rPr>
            <w:rFonts w:ascii="Times New Roman" w:eastAsia="Times New Roman" w:hAnsi="Times New Roman" w:cs="Times New Roman"/>
            <w:b/>
            <w:bCs/>
            <w:i/>
            <w:noProof/>
            <w:sz w:val="24"/>
          </w:rPr>
          <w:t>Phillipson, Jack</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10</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099" w:history="1">
        <w:r w:rsidR="00B81E2A" w:rsidRPr="00B81E2A">
          <w:rPr>
            <w:rFonts w:ascii="Times New Roman" w:eastAsia="Times New Roman" w:hAnsi="Times New Roman" w:cs="Times New Roman"/>
            <w:b/>
            <w:bCs/>
            <w:i/>
            <w:noProof/>
            <w:sz w:val="24"/>
          </w:rPr>
          <w:t>Reed, Philip</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11</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0" w:history="1">
        <w:r w:rsidR="00B81E2A" w:rsidRPr="00B81E2A">
          <w:rPr>
            <w:rFonts w:ascii="Times New Roman" w:eastAsia="Times New Roman" w:hAnsi="Times New Roman" w:cs="Times New Roman"/>
            <w:b/>
            <w:bCs/>
            <w:i/>
            <w:noProof/>
            <w:sz w:val="24"/>
          </w:rPr>
          <w:t>Rothstein, Steven</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11</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1" w:history="1">
        <w:r w:rsidR="00B81E2A" w:rsidRPr="00B81E2A">
          <w:rPr>
            <w:rFonts w:ascii="Times New Roman" w:eastAsia="Times New Roman" w:hAnsi="Times New Roman" w:cs="Times New Roman"/>
            <w:b/>
            <w:bCs/>
            <w:i/>
            <w:noProof/>
            <w:sz w:val="24"/>
          </w:rPr>
          <w:t>Schroeder, Nikolaus</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11</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2" w:history="1">
        <w:r w:rsidR="00B81E2A" w:rsidRPr="00B81E2A">
          <w:rPr>
            <w:rFonts w:ascii="Times New Roman" w:eastAsia="Times New Roman" w:hAnsi="Times New Roman" w:cs="Times New Roman"/>
            <w:b/>
            <w:bCs/>
            <w:i/>
            <w:noProof/>
            <w:sz w:val="24"/>
          </w:rPr>
          <w:t>St. Louis, Scott</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12</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3" w:history="1">
        <w:r w:rsidR="00B81E2A" w:rsidRPr="00B81E2A">
          <w:rPr>
            <w:rFonts w:ascii="Times New Roman" w:eastAsia="Times New Roman" w:hAnsi="Times New Roman" w:cs="Times New Roman"/>
            <w:b/>
            <w:bCs/>
            <w:i/>
            <w:noProof/>
            <w:sz w:val="24"/>
          </w:rPr>
          <w:t>Steward, Andrew</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13</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4" w:history="1">
        <w:r w:rsidR="00B81E2A" w:rsidRPr="00B81E2A">
          <w:rPr>
            <w:rFonts w:ascii="Times New Roman" w:eastAsia="Times New Roman" w:hAnsi="Times New Roman" w:cs="Times New Roman"/>
            <w:b/>
            <w:bCs/>
            <w:i/>
            <w:noProof/>
            <w:sz w:val="24"/>
          </w:rPr>
          <w:t>Theule, Joel</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14</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5" w:history="1">
        <w:r w:rsidR="00B81E2A" w:rsidRPr="00B81E2A">
          <w:rPr>
            <w:rFonts w:ascii="Times New Roman" w:eastAsia="Times New Roman" w:hAnsi="Times New Roman" w:cs="Times New Roman"/>
            <w:b/>
            <w:bCs/>
            <w:i/>
            <w:noProof/>
            <w:sz w:val="24"/>
          </w:rPr>
          <w:t>Torkelson, Katie</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14</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6" w:history="1">
        <w:r w:rsidR="00B81E2A" w:rsidRPr="00B81E2A">
          <w:rPr>
            <w:rFonts w:ascii="Times New Roman" w:eastAsia="Times New Roman" w:hAnsi="Times New Roman" w:cs="Times New Roman"/>
            <w:b/>
            <w:bCs/>
            <w:i/>
            <w:noProof/>
            <w:sz w:val="24"/>
          </w:rPr>
          <w:t>Utter, Jessica</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14</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7" w:history="1">
        <w:r w:rsidR="00B81E2A" w:rsidRPr="00B81E2A">
          <w:rPr>
            <w:rFonts w:ascii="Times New Roman" w:eastAsia="Times New Roman" w:hAnsi="Times New Roman" w:cs="Times New Roman"/>
            <w:b/>
            <w:bCs/>
            <w:i/>
            <w:noProof/>
            <w:sz w:val="24"/>
          </w:rPr>
          <w:t>Westmaas, Chad</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15</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8" w:history="1">
        <w:r w:rsidR="00B81E2A" w:rsidRPr="00B81E2A">
          <w:rPr>
            <w:rFonts w:ascii="Times New Roman" w:eastAsia="Times New Roman" w:hAnsi="Times New Roman" w:cs="Times New Roman"/>
            <w:b/>
            <w:bCs/>
            <w:i/>
            <w:noProof/>
            <w:sz w:val="24"/>
          </w:rPr>
          <w:t>Wiener, Nicholas</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15</w:t>
        </w:r>
      </w:hyperlink>
    </w:p>
    <w:p w:rsidR="00B81E2A" w:rsidRPr="00B81E2A" w:rsidRDefault="006F22D1" w:rsidP="00B81E2A">
      <w:pPr>
        <w:tabs>
          <w:tab w:val="right" w:leader="dot" w:pos="9350"/>
        </w:tabs>
        <w:spacing w:after="100" w:line="240" w:lineRule="auto"/>
        <w:rPr>
          <w:rFonts w:ascii="Times New Roman" w:eastAsia="Times New Roman" w:hAnsi="Times New Roman" w:cs="Times New Roman"/>
          <w:b/>
          <w:i/>
          <w:noProof/>
        </w:rPr>
      </w:pPr>
      <w:hyperlink w:anchor="_Toc447117109" w:history="1">
        <w:r w:rsidR="00B81E2A" w:rsidRPr="00B81E2A">
          <w:rPr>
            <w:rFonts w:ascii="Times New Roman" w:eastAsia="Times New Roman" w:hAnsi="Times New Roman" w:cs="Times New Roman"/>
            <w:b/>
            <w:bCs/>
            <w:i/>
            <w:noProof/>
            <w:sz w:val="24"/>
          </w:rPr>
          <w:t>Williams, Alexander</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16</w:t>
        </w:r>
      </w:hyperlink>
    </w:p>
    <w:p w:rsidR="00B81E2A" w:rsidRDefault="006F22D1" w:rsidP="00B81E2A">
      <w:pPr>
        <w:tabs>
          <w:tab w:val="right" w:leader="dot" w:pos="9350"/>
        </w:tabs>
        <w:spacing w:after="100" w:line="240" w:lineRule="auto"/>
        <w:rPr>
          <w:rFonts w:ascii="Times New Roman" w:eastAsia="Calibri" w:hAnsi="Times New Roman" w:cs="Times New Roman"/>
          <w:b/>
          <w:i/>
          <w:noProof/>
          <w:sz w:val="24"/>
        </w:rPr>
        <w:sectPr w:rsidR="00B81E2A">
          <w:pgSz w:w="12240" w:h="15840"/>
          <w:pgMar w:top="1440" w:right="1440" w:bottom="1440" w:left="1440" w:header="720" w:footer="720" w:gutter="0"/>
          <w:cols w:space="720"/>
          <w:docGrid w:linePitch="360"/>
        </w:sectPr>
      </w:pPr>
      <w:hyperlink w:anchor="_Toc447117110" w:history="1">
        <w:r w:rsidR="00B81E2A" w:rsidRPr="00B81E2A">
          <w:rPr>
            <w:rFonts w:ascii="Times New Roman" w:eastAsia="Times New Roman" w:hAnsi="Times New Roman" w:cs="Times New Roman"/>
            <w:b/>
            <w:bCs/>
            <w:i/>
            <w:noProof/>
            <w:sz w:val="24"/>
          </w:rPr>
          <w:t>Wright, Sean</w:t>
        </w:r>
        <w:r w:rsidR="00B81E2A" w:rsidRPr="00B81E2A">
          <w:rPr>
            <w:rFonts w:ascii="Times New Roman" w:eastAsia="Calibri" w:hAnsi="Times New Roman" w:cs="Times New Roman"/>
            <w:b/>
            <w:i/>
            <w:noProof/>
            <w:webHidden/>
            <w:sz w:val="24"/>
          </w:rPr>
          <w:tab/>
        </w:r>
        <w:r w:rsidR="00B81E2A">
          <w:rPr>
            <w:rFonts w:ascii="Times New Roman" w:eastAsia="Calibri" w:hAnsi="Times New Roman" w:cs="Times New Roman"/>
            <w:b/>
            <w:i/>
            <w:noProof/>
            <w:webHidden/>
            <w:sz w:val="24"/>
          </w:rPr>
          <w:t>16</w:t>
        </w:r>
      </w:hyperlink>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i/>
          <w:sz w:val="28"/>
          <w:szCs w:val="28"/>
        </w:rPr>
      </w:pPr>
      <w:bookmarkStart w:id="1" w:name="_Toc447117078"/>
      <w:r w:rsidRPr="00B81E2A">
        <w:rPr>
          <w:rFonts w:ascii="Times New Roman" w:eastAsia="Times New Roman" w:hAnsi="Times New Roman" w:cs="Times New Roman"/>
          <w:b/>
          <w:bCs/>
          <w:sz w:val="28"/>
          <w:szCs w:val="28"/>
        </w:rPr>
        <w:lastRenderedPageBreak/>
        <w:t>ACF 2014 January - March Presentations</w:t>
      </w:r>
      <w:bookmarkEnd w:id="1"/>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2" w:name="_Toc442711220"/>
      <w:bookmarkStart w:id="3" w:name="_Toc443474223"/>
      <w:bookmarkStart w:id="4" w:name="_Toc447117079"/>
      <w:r w:rsidRPr="00B81E2A">
        <w:rPr>
          <w:rFonts w:ascii="Times New Roman" w:eastAsia="Times New Roman" w:hAnsi="Times New Roman" w:cs="Times New Roman"/>
          <w:b/>
          <w:bCs/>
          <w:sz w:val="24"/>
          <w:szCs w:val="24"/>
        </w:rPr>
        <w:t>Auten, Justin</w:t>
      </w:r>
      <w:bookmarkEnd w:id="2"/>
      <w:bookmarkEnd w:id="3"/>
      <w:bookmarkEnd w:id="4"/>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5" w:name="_Toc442711221"/>
      <w:bookmarkStart w:id="6" w:name="_Toc443474224"/>
      <w:bookmarkStart w:id="7" w:name="_Toc447117080"/>
      <w:r w:rsidRPr="00B81E2A">
        <w:rPr>
          <w:rFonts w:ascii="Times New Roman" w:eastAsia="Times New Roman" w:hAnsi="Times New Roman" w:cs="Times New Roman"/>
          <w:b/>
          <w:bCs/>
          <w:sz w:val="24"/>
          <w:szCs w:val="24"/>
        </w:rPr>
        <w:t>Chaness, Samantha</w:t>
      </w:r>
      <w:bookmarkEnd w:id="5"/>
      <w:bookmarkEnd w:id="6"/>
      <w:bookmarkEnd w:id="7"/>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International Shakespeare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"Bard To Go: Puzzle the Will"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The show features scenes from some of the most famous plays by William Shakespeare, including Othello, Hamlet, Macbeth, XII Night, Pericles. It combines moments of high dramatic tension with comedic episodes. The scenes are connected with a through line: a character borrowed from the world of videogames. The show tours middle and high schools in Michigan, bringing some of GVSU Shakespeare to younger audiences. Also, the show has been invited to be part of the International Shakespeare Festival in Prague (Czech Republic) and in Italy, by the Associazione Valle Christi, which operates a Festival and several cultural activities in Genoa, in the north of Italy. The production is sponsored by the School of Communication and by GVSU Shakespeare festival.</w:t>
      </w: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8" w:name="_Toc442711222"/>
      <w:bookmarkStart w:id="9" w:name="_Toc443474225"/>
      <w:bookmarkStart w:id="10" w:name="_Toc447117081"/>
      <w:r w:rsidRPr="00B81E2A">
        <w:rPr>
          <w:rFonts w:ascii="Times New Roman" w:eastAsia="Times New Roman" w:hAnsi="Times New Roman" w:cs="Times New Roman"/>
          <w:b/>
          <w:bCs/>
          <w:sz w:val="24"/>
          <w:szCs w:val="24"/>
        </w:rPr>
        <w:t>Darnell, Matthew</w:t>
      </w:r>
      <w:bookmarkEnd w:id="8"/>
      <w:bookmarkEnd w:id="9"/>
      <w:bookmarkEnd w:id="10"/>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International Shakespeare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lastRenderedPageBreak/>
        <w:t>"Bard to Go: Puzzle the Will performance"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The show features scenes from some of the most famous plays by William Shakespeare, including Othello, Hamlet, Macbeth, XII Night, Pericles. It combines moments of high dramatic tension with comedic episodes. The scenes are connected with a through line: a character borrowed from the world of video games. The show tours middle and high schools in Michigan, bringing some of GVSU Shakespeare to younger audiences. Also, the show has been invited to be part of the International Shakespeare Festival in Prague (Czech Republic) and in Italy, by the Associazione Valle Christi, which operates a Festival and several cultural activities in Genoa, in the north of Italy. The production is sponsored by the School of Communication and by GVSU Shakespeare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11" w:name="_Toc442711223"/>
      <w:bookmarkStart w:id="12" w:name="_Toc443474226"/>
      <w:bookmarkStart w:id="13" w:name="_Toc447117082"/>
      <w:r w:rsidRPr="00B81E2A">
        <w:rPr>
          <w:rFonts w:ascii="Times New Roman" w:eastAsia="Times New Roman" w:hAnsi="Times New Roman" w:cs="Times New Roman"/>
          <w:b/>
          <w:bCs/>
          <w:sz w:val="24"/>
          <w:szCs w:val="24"/>
        </w:rPr>
        <w:t>Duebner, Thomas</w:t>
      </w:r>
      <w:bookmarkEnd w:id="11"/>
      <w:bookmarkEnd w:id="12"/>
      <w:bookmarkEnd w:id="13"/>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14" w:name="_Toc442711224"/>
      <w:bookmarkStart w:id="15" w:name="_Toc443474227"/>
      <w:bookmarkStart w:id="16" w:name="_Toc447117083"/>
      <w:r w:rsidRPr="00B81E2A">
        <w:rPr>
          <w:rFonts w:ascii="Times New Roman" w:eastAsia="Times New Roman" w:hAnsi="Times New Roman" w:cs="Times New Roman"/>
          <w:b/>
          <w:bCs/>
          <w:sz w:val="24"/>
          <w:szCs w:val="24"/>
        </w:rPr>
        <w:t>Ellis, Gabriel</w:t>
      </w:r>
      <w:bookmarkEnd w:id="14"/>
      <w:bookmarkEnd w:id="15"/>
      <w:bookmarkEnd w:id="16"/>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Men's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 xml:space="preserve">GVSU Varsity Men, selected in a nationally competitive blind audition, will perform a forty-minute vocal concert highlighting both classic and new works for TTBB (Tenor, Tenor, </w:t>
      </w:r>
      <w:r w:rsidRPr="00B81E2A">
        <w:rPr>
          <w:rFonts w:ascii="Times New Roman" w:eastAsia="Calibri" w:hAnsi="Times New Roman" w:cs="Times New Roman"/>
          <w:sz w:val="24"/>
          <w:szCs w:val="24"/>
        </w:rPr>
        <w:lastRenderedPageBreak/>
        <w:t>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17" w:name="_Toc442711225"/>
      <w:bookmarkStart w:id="18" w:name="_Toc443474228"/>
      <w:bookmarkStart w:id="19" w:name="_Toc447117084"/>
      <w:r w:rsidRPr="00B81E2A">
        <w:rPr>
          <w:rFonts w:ascii="Times New Roman" w:eastAsia="Times New Roman" w:hAnsi="Times New Roman" w:cs="Times New Roman"/>
          <w:b/>
          <w:bCs/>
          <w:sz w:val="24"/>
          <w:szCs w:val="24"/>
        </w:rPr>
        <w:t>Farrell, Ryan</w:t>
      </w:r>
      <w:bookmarkEnd w:id="17"/>
      <w:bookmarkEnd w:id="18"/>
      <w:bookmarkEnd w:id="19"/>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International Shakespeare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"Bard to Go - Puzzle the Will performance"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The show features scenes from some of the most famous plays by William Shakespeare, including Othello, Hamlet, Macbeth, XII Night, Pericles. It combines moments of high dramatic tension with comedic episodes. The scenes are connected with a through line: a character borrowed from the world of videogames. The show tours middle and high schools in Michigan, bringing some of GVSU Shakespeare to younger audiences. Also, the show has been invited to be part of the International Shakespeare Festival in Prague (Czech Republic) and in Italy, by the Associazione Valle Christi, which operates a Festival and several cultural activities in Genoa, in the north of Italy. The production is sponsored by the School of Communication and by GVSU Shakespeare Festival. I am Ryan Farrell, performing as Player 4, MacBeth, and Lysimichus.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20" w:name="_Toc442711226"/>
      <w:bookmarkStart w:id="21" w:name="_Toc443474229"/>
      <w:bookmarkStart w:id="22" w:name="_Toc447117085"/>
      <w:r w:rsidRPr="00B81E2A">
        <w:rPr>
          <w:rFonts w:ascii="Times New Roman" w:eastAsia="Times New Roman" w:hAnsi="Times New Roman" w:cs="Times New Roman"/>
          <w:b/>
          <w:bCs/>
          <w:sz w:val="24"/>
          <w:szCs w:val="24"/>
        </w:rPr>
        <w:t>Feiner, Erin</w:t>
      </w:r>
      <w:bookmarkEnd w:id="20"/>
      <w:bookmarkEnd w:id="21"/>
      <w:bookmarkEnd w:id="22"/>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International Shakespeare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"Bard to Go - Puzzle the Will performance"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 xml:space="preserve">2013 GVSU BARD To GO Puzzle the Will The show features scenes from some of the most famous plays by William Shakespeare, including Othello, Hamlet, Macbeth, XII Night, Pericles. It combines moments of high dramatic tension with comedic episodes. The scenes are connected with a through line: a character borrowed from the world of videogames. The show tours middle and high schools in Michigan, bringing some of GVSU Shakespeare to younger audiences. Also, </w:t>
      </w:r>
      <w:r w:rsidRPr="00B81E2A">
        <w:rPr>
          <w:rFonts w:ascii="Times New Roman" w:eastAsia="Calibri" w:hAnsi="Times New Roman" w:cs="Times New Roman"/>
          <w:sz w:val="24"/>
          <w:szCs w:val="24"/>
        </w:rPr>
        <w:lastRenderedPageBreak/>
        <w:t>the show has been invited to be part of the International Shakespeare Festival in Prague (Czech Republic) and in Italy, by the Associazione Valle Christi, which operates a Festival and several cultural activities in Genoa, in the north of Italy. The production is sponsored by the School of Communication and by GVSU Shakespeare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23" w:name="_Toc442711227"/>
      <w:bookmarkStart w:id="24" w:name="_Toc443474230"/>
      <w:bookmarkStart w:id="25" w:name="_Toc447117086"/>
      <w:r w:rsidRPr="00B81E2A">
        <w:rPr>
          <w:rFonts w:ascii="Times New Roman" w:eastAsia="Times New Roman" w:hAnsi="Times New Roman" w:cs="Times New Roman"/>
          <w:b/>
          <w:bCs/>
          <w:sz w:val="24"/>
          <w:szCs w:val="24"/>
        </w:rPr>
        <w:t>Fowler, Matthew</w:t>
      </w:r>
      <w:bookmarkEnd w:id="23"/>
      <w:bookmarkEnd w:id="24"/>
      <w:bookmarkEnd w:id="25"/>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Kennedy Center American College Region Three Theatre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"Irene Ryan Acting Scholarship Auditions"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 xml:space="preserve">No Abstract. </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26" w:name="_Toc442711228"/>
      <w:bookmarkStart w:id="27" w:name="_Toc443474231"/>
      <w:bookmarkStart w:id="28" w:name="_Toc447117087"/>
      <w:r w:rsidRPr="00B81E2A">
        <w:rPr>
          <w:rFonts w:ascii="Times New Roman" w:eastAsia="Times New Roman" w:hAnsi="Times New Roman" w:cs="Times New Roman"/>
          <w:b/>
          <w:bCs/>
          <w:sz w:val="24"/>
          <w:szCs w:val="24"/>
        </w:rPr>
        <w:t>Gilmour, Aynsley</w:t>
      </w:r>
      <w:bookmarkEnd w:id="26"/>
      <w:bookmarkEnd w:id="27"/>
      <w:bookmarkEnd w:id="28"/>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Michigan Academy of Science, Arts and Letters 2014 Conference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"Geospatial Analysis of Grand Valley State University's Enrollment, 1989-2012"</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The purpose of this study was to investigate the enrollment reachof Grand Valley State University over a 24 year period of time. The hypothesis was that GVSU had significantly expanded its recruitment of freshmen students beyond the Grand Rapids area. Data was collected from the GVSU registrar. The number of incoming freshman by year was analyzed by county and descriptive and inferential statistics were generated. Results indicate that the mean center of recruitment has moved significantly to the southeast of the state.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29" w:name="_Toc442711229"/>
      <w:bookmarkStart w:id="30" w:name="_Toc443474232"/>
      <w:bookmarkStart w:id="31" w:name="_Toc447117088"/>
      <w:r w:rsidRPr="00B81E2A">
        <w:rPr>
          <w:rFonts w:ascii="Times New Roman" w:eastAsia="Times New Roman" w:hAnsi="Times New Roman" w:cs="Times New Roman"/>
          <w:b/>
          <w:bCs/>
          <w:sz w:val="24"/>
          <w:szCs w:val="28"/>
        </w:rPr>
        <w:t>Hanson, Kelsey</w:t>
      </w:r>
      <w:bookmarkEnd w:id="29"/>
      <w:bookmarkEnd w:id="30"/>
      <w:bookmarkEnd w:id="31"/>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Michigan Academy of Science, Arts and Letters 2014 Conference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lastRenderedPageBreak/>
        <w:t>"Airborne LiDAR and Ancient Landscapes: An Archaeological Application in Ottawa County, Michigan"</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Since its introduction in the 1960s, LiDAR has proven to be a uniquely suitable tool for archaeological research, particularly in the identification of previously unrecorded site locations. By removing vegetation that often obscures aerial imagery, LiDAR offers a model of the bare earth beneath. The present research project represents a preliminary application of this technique to a selected area in Ottawa County, Michigan using 2004 LiDAR data from Ottawa County Parks and Recreation that attempts to compare unusual surface phenomena with previously recorded archaeological sites, historic plat maps, and aerial imagery. The first area in question includes Spoonville (20OT1), an intensively occupied Woodland Period site located on the left bank of the Grand River that features three known mound features, one burial, and several associated artifacts. The second area includes Connor Bayou (20OT353), a recently discovered multi-component prehistoric site located about 1.5 km west on the opposite bank. This preliminary application of LiDAR data in these two areas has yielded interesting results that drastically change our current understanding of the archaeology in this region.</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32" w:name="_Toc442711230"/>
      <w:bookmarkStart w:id="33" w:name="_Toc443474233"/>
      <w:bookmarkStart w:id="34" w:name="_Toc447117089"/>
      <w:r w:rsidRPr="00B81E2A">
        <w:rPr>
          <w:rFonts w:ascii="Times New Roman" w:eastAsia="Times New Roman" w:hAnsi="Times New Roman" w:cs="Times New Roman"/>
          <w:b/>
          <w:bCs/>
          <w:sz w:val="24"/>
          <w:szCs w:val="28"/>
        </w:rPr>
        <w:t>Kiel, Jesse</w:t>
      </w:r>
      <w:bookmarkEnd w:id="32"/>
      <w:bookmarkEnd w:id="33"/>
      <w:bookmarkEnd w:id="34"/>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35" w:name="_Toc442711231"/>
      <w:bookmarkStart w:id="36" w:name="_Toc443474234"/>
      <w:bookmarkStart w:id="37" w:name="_Toc447117090"/>
      <w:r w:rsidRPr="00B81E2A">
        <w:rPr>
          <w:rFonts w:ascii="Times New Roman" w:eastAsia="Times New Roman" w:hAnsi="Times New Roman" w:cs="Times New Roman"/>
          <w:b/>
          <w:bCs/>
          <w:sz w:val="24"/>
          <w:szCs w:val="28"/>
        </w:rPr>
        <w:t>Lendman, Megan</w:t>
      </w:r>
      <w:bookmarkEnd w:id="35"/>
      <w:bookmarkEnd w:id="36"/>
      <w:bookmarkEnd w:id="37"/>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lastRenderedPageBreak/>
        <w:t>Society for Photographic Education: Collaborative Exchanges: Photography in Dialogue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"China: Life of the Civilian"</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Theres an ocean between us in both directions. Not to mention that the Himalayas and the Sahara reside in one of those directions as well as the Ring of Fire and part of Siberia in the other, in the way of our two countries. Its understandable that we, the Americans, dont and maybe cant always understand them since they, the Chinese, are so far away. But does that mean we shouldnt try? As a civilian in a democratic country, I hold only as much power as I am willing to enforce and vocalize. As a civilian in a communist nation, a person holds only as much power as they are willing to work together and work towards. In a nation as egocentric as our own, it is easy to overlook the common people and think only of governments and the struggle for power over natural resources. But I had to see; I had to meet them, the ones who were living life in a city not too dissimilar from my own. Could they possibly be like me? So I flew over the ocean to bridge the gap. Kunming is a bit larger than Grand Rapids. With seven million people calling Kunming their home, it seemed more like Chicago or New York- but without the pizza. For a month, I roamed the streets with a mindset to live as the Chinese do. I ate with them, walked with them, spoke with them, and even danced with them. What I discovered was far more than I had hoped and this discovery is what I want to share. People, human beings, we are because we do. No matter if you are fifty feet from your home, or three thousand miles away, people have the same desires. We cook, go to school, raise children, and have our own vices. We dance and sing, sleep and wake, have aspirations and doubts. With my work China: Life of the Civilian, I want my viewers to see the beautiful colors and exotic clothing the Chinese choose to wear, through my images I invite them to discover the similarities in the seemingly obvious differences. I feel more whole after this journey, after I have befriended the foreign. The realization that people are people seems too undeniable to be overlooked, but sadly this is too often the case. My images are to act as a liaison to help people understand, and hopefully it can inspire them to make a journey of their own.</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38" w:name="_Toc442711232"/>
      <w:bookmarkStart w:id="39" w:name="_Toc443474235"/>
      <w:bookmarkStart w:id="40" w:name="_Toc447117091"/>
      <w:r w:rsidRPr="00B81E2A">
        <w:rPr>
          <w:rFonts w:ascii="Times New Roman" w:eastAsia="Times New Roman" w:hAnsi="Times New Roman" w:cs="Times New Roman"/>
          <w:b/>
          <w:bCs/>
          <w:sz w:val="24"/>
          <w:szCs w:val="28"/>
        </w:rPr>
        <w:t>Lo, David</w:t>
      </w:r>
      <w:bookmarkEnd w:id="38"/>
      <w:bookmarkEnd w:id="39"/>
      <w:bookmarkEnd w:id="40"/>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lastRenderedPageBreak/>
        <w:t>51st Annual Conference of the Academy of Economics and Finance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"More Evidence on the Impact of Investor Sentiment on The Return Disparity for Dual-Listed Securities"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 this paper we provide more information on the return disparity between dual-listed companies (DLCs) stocks. A DLC is, in effect, a virtual merger of two companies where formally independent firms agree to share cash flow but retain their separate legal identities, including separate stock listings. Theoretically, in an efficient market the ratio of stock prices of the DLCs should reflect the ratio of the cash flow split and returns to the stock should be identical to maintain the ratio. A growing literature establishes that a disparity exists in the price ratio and returns of DLCs, with this disparity attributed to differences in investor sentiment in the separate markets at which the DLC twins are listed. We contribute to this literature by using a new methodology that allows us to parse the conditions under which the investor sentiment creates return disparity.</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41" w:name="_Toc442711233"/>
      <w:bookmarkStart w:id="42" w:name="_Toc443474236"/>
      <w:bookmarkStart w:id="43" w:name="_Toc447117092"/>
      <w:r w:rsidRPr="00B81E2A">
        <w:rPr>
          <w:rFonts w:ascii="Times New Roman" w:eastAsia="Times New Roman" w:hAnsi="Times New Roman" w:cs="Times New Roman"/>
          <w:b/>
          <w:bCs/>
          <w:sz w:val="24"/>
          <w:szCs w:val="28"/>
        </w:rPr>
        <w:t>Mackey, Justin</w:t>
      </w:r>
      <w:bookmarkEnd w:id="41"/>
      <w:bookmarkEnd w:id="42"/>
      <w:bookmarkEnd w:id="43"/>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Kennedy Center/American College Theatre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"Irene Ryan Award Competition"</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 will be presenting 6 minutes worth of prepared scene and monologue work for competition for the Irene Ryan Award in our KC/ACTF Region. This work includes two scenes and 1 monologue, and requires extensive preparation. I will also be attending the workshops and performance at the festival. The Kennedy Center American College Theater (KC/ACTF) is a national theater program involving 18,000 students from colleges and universities nationwide which has served as a catalyst in improving the quality of college theater in the United States. The KCACTF has grown into a network of more than 600 academic institutions throughout the country, where theater departments and student artists showcase their work and receive outside assessment by KCACTF respondents(http://www.kcactf.org/KCACTF.ORG_NATIONAL/KCACTF.html website).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44" w:name="_Toc442711234"/>
      <w:bookmarkStart w:id="45" w:name="_Toc443474237"/>
      <w:bookmarkStart w:id="46" w:name="_Toc447117093"/>
      <w:r w:rsidRPr="00B81E2A">
        <w:rPr>
          <w:rFonts w:ascii="Times New Roman" w:eastAsia="Times New Roman" w:hAnsi="Times New Roman" w:cs="Times New Roman"/>
          <w:b/>
          <w:bCs/>
          <w:sz w:val="24"/>
          <w:szCs w:val="28"/>
        </w:rPr>
        <w:t>Maclean, Tighe</w:t>
      </w:r>
      <w:bookmarkEnd w:id="44"/>
      <w:bookmarkEnd w:id="45"/>
      <w:bookmarkEnd w:id="46"/>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47" w:name="_Toc442711235"/>
      <w:bookmarkStart w:id="48" w:name="_Toc443474238"/>
      <w:bookmarkStart w:id="49" w:name="_Toc447117094"/>
      <w:r w:rsidRPr="00B81E2A">
        <w:rPr>
          <w:rFonts w:ascii="Times New Roman" w:eastAsia="Times New Roman" w:hAnsi="Times New Roman" w:cs="Times New Roman"/>
          <w:b/>
          <w:bCs/>
          <w:sz w:val="24"/>
          <w:szCs w:val="24"/>
        </w:rPr>
        <w:t>Malfroid, Martin</w:t>
      </w:r>
      <w:bookmarkEnd w:id="47"/>
      <w:bookmarkEnd w:id="48"/>
      <w:bookmarkEnd w:id="49"/>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Men's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50" w:name="_Toc442711236"/>
      <w:bookmarkStart w:id="51" w:name="_Toc443474239"/>
      <w:bookmarkStart w:id="52" w:name="_Toc447117095"/>
      <w:r w:rsidRPr="00B81E2A">
        <w:rPr>
          <w:rFonts w:ascii="Times New Roman" w:eastAsia="Times New Roman" w:hAnsi="Times New Roman" w:cs="Times New Roman"/>
          <w:b/>
          <w:bCs/>
          <w:sz w:val="24"/>
          <w:szCs w:val="24"/>
        </w:rPr>
        <w:t>Maloff, Ashley</w:t>
      </w:r>
      <w:bookmarkEnd w:id="50"/>
      <w:bookmarkEnd w:id="51"/>
      <w:bookmarkEnd w:id="52"/>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Annual Ethnographic and Qualitative Research Conference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"The Effects of Race on a U.S. Master"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lastRenderedPageBreak/>
        <w:t>Racial/ethnic demographics are shifting the United States. Subsequently, higher education institutions are becoming more racial and ethnically diverse. Given the demographic changes, faculty, staff, and administrators must also become increasingly culturally competent. The goal of the present case study is to learn more about the effects of the U.S. concept of race (i.e., White, Black/African American, etc.) on the experiences and educational outcomes for a graduate student affairs program study abroad experience in Jamaica. Interviews were conducted with 6 masters students or alumni of a graduate student affairs preparation program at a large, public, predominantly White comprehensive university located in the Midwest region of the United States. Questions regarding the importance and acknowledgement of race during and after the study abroad experience were part of the interview protocols. Such research is useful to help document the experiences of graduate students participating in study abroad; and, how current or future student affairs professionals are critically reflecting on race and racism in United States higher education.</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53" w:name="_Toc442711237"/>
      <w:bookmarkStart w:id="54" w:name="_Toc443474240"/>
      <w:bookmarkStart w:id="55" w:name="_Toc447117096"/>
      <w:r w:rsidRPr="00B81E2A">
        <w:rPr>
          <w:rFonts w:ascii="Times New Roman" w:eastAsia="Times New Roman" w:hAnsi="Times New Roman" w:cs="Times New Roman"/>
          <w:b/>
          <w:bCs/>
          <w:sz w:val="24"/>
          <w:szCs w:val="24"/>
        </w:rPr>
        <w:t>McCullough, Caitlin</w:t>
      </w:r>
      <w:bookmarkEnd w:id="53"/>
      <w:bookmarkEnd w:id="54"/>
      <w:bookmarkEnd w:id="55"/>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40th Annual Meeting of the Southeastern American Society for Eighteenth-Century Studies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"Undergraduate Research on the Encyclopédie and the French Revolution"</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The presentation will focus on the French mathematician, Jean leRond d'Alembert. d'Alembert greatly influenced the French Enlightenment, particularly through his work as a co-editor and a contributor to l'Encyclopédie. While studying this aspect of his life, I discovered and became interested in his contributions to the field of mathematics, which, most notably and radically, was his assertion that physics and mathematics were not two separate fields to be studied, but one and the same. This assertion continued to influence his later mathematical discoveries. At this conference, I will share the contributions of d'Alembert, which many of the audience will be most familiar with his work within the realm of literature and the Enlightenment, to his field of mathematics and relate how his contributions to those two fields (literature and mathematics) were related.</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56" w:name="_Toc442711238"/>
      <w:bookmarkStart w:id="57" w:name="_Toc443474241"/>
      <w:bookmarkStart w:id="58" w:name="_Toc447117097"/>
      <w:r w:rsidRPr="00B81E2A">
        <w:rPr>
          <w:rFonts w:ascii="Times New Roman" w:eastAsia="Times New Roman" w:hAnsi="Times New Roman" w:cs="Times New Roman"/>
          <w:b/>
          <w:bCs/>
          <w:sz w:val="24"/>
          <w:szCs w:val="28"/>
        </w:rPr>
        <w:lastRenderedPageBreak/>
        <w:t>Nykamp, Trevor</w:t>
      </w:r>
      <w:bookmarkEnd w:id="56"/>
      <w:bookmarkEnd w:id="57"/>
      <w:bookmarkEnd w:id="58"/>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59" w:name="_Toc442711239"/>
      <w:bookmarkStart w:id="60" w:name="_Toc443474242"/>
      <w:bookmarkStart w:id="61" w:name="_Toc447117098"/>
      <w:r w:rsidRPr="00B81E2A">
        <w:rPr>
          <w:rFonts w:ascii="Times New Roman" w:eastAsia="Times New Roman" w:hAnsi="Times New Roman" w:cs="Times New Roman"/>
          <w:b/>
          <w:bCs/>
          <w:sz w:val="24"/>
          <w:szCs w:val="28"/>
        </w:rPr>
        <w:t>Phillipson, Jack</w:t>
      </w:r>
      <w:bookmarkEnd w:id="59"/>
      <w:bookmarkEnd w:id="60"/>
      <w:bookmarkEnd w:id="61"/>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American Choral Directors Association (ACDA) Central Division Conference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"Collegiate Repertoire Choir"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 xml:space="preserve">The American Choral Director's Association (ACDA) is an extremely active organization in the professional music industry. Here at GV, we have a student organization that works within the music department that consists of mostly music education majors who volunteer at and organize a variety of music-related meetings and activities. At the end of February, ACDA is holding their annual Central Region Conference in Cincinnati, Ohio. At this conference will be a plethora of highly acclaimed choral directors and composers who will conduct seminars and music readings throughout the conference. The amount of career building information that will be available at this conference is astounding and opportunities such as these come rarely. Considering the fact that I along with my peers will be immersed in the industry in the very near future, learning opportunities such as this are extremely valuable to our careers as music educators. Along with attending the conference, I, along with the other students interested in attending the conference were invited to perform in a select group of collegiate singers called the Collegiate Repertoire Choir. This invitation offers an even more in depth and active experience at the conference. It is </w:t>
      </w:r>
      <w:r w:rsidRPr="00B81E2A">
        <w:rPr>
          <w:rFonts w:ascii="Times New Roman" w:eastAsia="Calibri" w:hAnsi="Times New Roman" w:cs="Times New Roman"/>
          <w:sz w:val="24"/>
          <w:szCs w:val="24"/>
        </w:rPr>
        <w:lastRenderedPageBreak/>
        <w:t>rare to see opportunities such as these be available to such young performers; and valuable career building experiences will be lost if these opportunities are not taken advantage of.</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62" w:name="_Toc442711240"/>
      <w:bookmarkStart w:id="63" w:name="_Toc443474243"/>
      <w:bookmarkStart w:id="64" w:name="_Toc447117099"/>
      <w:r w:rsidRPr="00B81E2A">
        <w:rPr>
          <w:rFonts w:ascii="Times New Roman" w:eastAsia="Times New Roman" w:hAnsi="Times New Roman" w:cs="Times New Roman"/>
          <w:b/>
          <w:bCs/>
          <w:sz w:val="24"/>
          <w:szCs w:val="24"/>
        </w:rPr>
        <w:t>Reed, Philip</w:t>
      </w:r>
      <w:bookmarkEnd w:id="62"/>
      <w:bookmarkEnd w:id="63"/>
      <w:bookmarkEnd w:id="64"/>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Michigan Academy of Science, Arts and Letters 2014 Conference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"Distribution of Four Michigan Trout Species from 1951-2002"</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The purpose of this research was to map the changing geography of four native trout species, rainbow, brown, brook, and lake trout, in Michigan from 1951 to 2002. Michigan trout represent an important resource for game, trade, and tourism. Data were gathered from the Michigan Fish Atlas and mapped using ArcGIS. The highest density of sightings for rainbow and brook trout was in Alger County (13%), Mackinac County for brown trout (9%), and Berrien County for lake trout (29%).</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65" w:name="_Toc442711241"/>
      <w:bookmarkStart w:id="66" w:name="_Toc443474244"/>
      <w:bookmarkStart w:id="67" w:name="_Toc447117100"/>
      <w:r w:rsidRPr="00B81E2A">
        <w:rPr>
          <w:rFonts w:ascii="Times New Roman" w:eastAsia="Times New Roman" w:hAnsi="Times New Roman" w:cs="Times New Roman"/>
          <w:b/>
          <w:bCs/>
          <w:sz w:val="24"/>
          <w:szCs w:val="24"/>
        </w:rPr>
        <w:t>Rothstein, Steven</w:t>
      </w:r>
      <w:bookmarkEnd w:id="65"/>
      <w:bookmarkEnd w:id="66"/>
      <w:bookmarkEnd w:id="67"/>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Perform Opening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68" w:name="_Toc442711242"/>
      <w:bookmarkStart w:id="69" w:name="_Toc443474245"/>
      <w:bookmarkStart w:id="70" w:name="_Toc447117101"/>
      <w:r w:rsidRPr="00B81E2A">
        <w:rPr>
          <w:rFonts w:ascii="Times New Roman" w:eastAsia="Times New Roman" w:hAnsi="Times New Roman" w:cs="Times New Roman"/>
          <w:b/>
          <w:bCs/>
          <w:sz w:val="24"/>
          <w:szCs w:val="28"/>
        </w:rPr>
        <w:t>Schroeder, Nikolaus</w:t>
      </w:r>
      <w:bookmarkEnd w:id="68"/>
      <w:bookmarkEnd w:id="69"/>
      <w:bookmarkEnd w:id="70"/>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Men's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71" w:name="_Toc442711243"/>
      <w:bookmarkStart w:id="72" w:name="_Toc443474246"/>
      <w:bookmarkStart w:id="73" w:name="_Toc447117102"/>
      <w:r w:rsidRPr="00B81E2A">
        <w:rPr>
          <w:rFonts w:ascii="Times New Roman" w:eastAsia="Times New Roman" w:hAnsi="Times New Roman" w:cs="Times New Roman"/>
          <w:b/>
          <w:bCs/>
          <w:sz w:val="24"/>
          <w:szCs w:val="24"/>
        </w:rPr>
        <w:t>St. Louis, Scott</w:t>
      </w:r>
      <w:bookmarkEnd w:id="71"/>
      <w:bookmarkEnd w:id="72"/>
      <w:bookmarkEnd w:id="73"/>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40th Annual Meeting of the Southeastern American Society for Eighteenth-Century Studies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"The Influence of John Locke on Diderot s Encyclopédie, 1751-1772 AND Rousseau, Burke, and the Revolution in France: A Participatory Demonstration of Reacting to the Past Pedagogy (Two Presentations)"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 xml:space="preserve">First Presentation: "The Influence of John Locke on Diderot's Encyclopedie, 1751-1772." The European intellectual movement known as the Enlightenment was marked by a renewed interest in inalienable rights, an idea (closely linked to modern democracy) first articulated in 1690 by English political philosopher John Locke in his Second Treatise of Government. Indeed, the famous Encyclopedie, one of the first comprehensive encyclopedias in history, published between 1751 and 1772, included support for this concept in articles by such profound thinkers as Voltaire, Rousseau, Montesquieu, and Diderot. Unfortunately, the colossal size of the Encyclopedie (74,000 articles) has long prevented scholars from fully understanding how it was shaped by ideas from earlier theorists, including Locke. In relatively recent times, however, an online database from a program known as American and French Research on the Treasury of the French Language (ARTFL),sponsored jointly by the University of Chicago and the French government, has made possible a more thorough examination of the Encyclopedie by enabling scholars to search the entire work in the original French for a particular word or phrase. A search of Locke yields 116 references concentrated in just 19 articles. By closely examining these </w:t>
      </w:r>
      <w:r w:rsidRPr="00B81E2A">
        <w:rPr>
          <w:rFonts w:ascii="Times New Roman" w:eastAsia="Calibri" w:hAnsi="Times New Roman" w:cs="Times New Roman"/>
          <w:sz w:val="24"/>
          <w:szCs w:val="24"/>
        </w:rPr>
        <w:lastRenderedPageBreak/>
        <w:t>references to Locke and bringing attention to occurrences of the name that are not currently detected by a database search, this paper will demonstrate the extent to which Locke's political and epistemological philosophy influenced one of the greatest works of the French Enlightenment, within the unique scholarly context of assessing the values and limitations of the ARTFL database. Second Demonstration: "Rousseau, Burke, and the Revolution in France: A Participatory Demonstration of Reacting to the Past Pedagogy." "Reacting to the Past" games are taught at over three hundred colleges and universities, in a wide array of disciplines. Assigned roles in crucial flashpoints in the history of ideas, in order to win, students must do everything professors have always tried to get them to do: read and analyze rich texts, master course content, construct and articulate convincing arguments in writing and in public speaking, participate actively, and collaborate. So that interested conference attendants can get a sense of how this pedagogy might work in their classrooms, and what the experience is like for students, during this session they will be immersed in the intellectual, political, and ideological fervor of Revolutionary Paris, in a brief micro-game of "Rousseau, Burke, and Revolution in France, 1791."</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74" w:name="_Toc442711244"/>
      <w:bookmarkStart w:id="75" w:name="_Toc443474247"/>
      <w:bookmarkStart w:id="76" w:name="_Toc447117103"/>
      <w:r w:rsidRPr="00B81E2A">
        <w:rPr>
          <w:rFonts w:ascii="Times New Roman" w:eastAsia="Times New Roman" w:hAnsi="Times New Roman" w:cs="Times New Roman"/>
          <w:b/>
          <w:bCs/>
          <w:sz w:val="24"/>
          <w:szCs w:val="28"/>
        </w:rPr>
        <w:t>Steward, Andrew</w:t>
      </w:r>
      <w:bookmarkEnd w:id="74"/>
      <w:bookmarkEnd w:id="75"/>
      <w:bookmarkEnd w:id="76"/>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International Shakespeare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"Bard to Go - Puzzle the Will performance"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2013 GVSU BARD to Go Puzzle the Will The scenes are connected with a through line: a character borrowed from the world of videogames. The show tours middle and high schools in Michigan, bringing some of GVSU Shakespeare to younger audiences. Also, the show has been invited to be part of the International Shakespeare Festival in Prague (Czech Republic) and in Italy, by the Associazione Valle Christi, which operates a Festival and several cultural activities in Genoa, in the north of Italy. The production is sponsored by the School of Communication and by GVSU Shakespeare Festival. I Andrew Steward am performing in this show.</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77" w:name="_Toc442711245"/>
      <w:bookmarkStart w:id="78" w:name="_Toc443474248"/>
      <w:bookmarkStart w:id="79" w:name="_Toc447117104"/>
      <w:r w:rsidRPr="00B81E2A">
        <w:rPr>
          <w:rFonts w:ascii="Times New Roman" w:eastAsia="Times New Roman" w:hAnsi="Times New Roman" w:cs="Times New Roman"/>
          <w:b/>
          <w:bCs/>
          <w:sz w:val="24"/>
          <w:szCs w:val="24"/>
        </w:rPr>
        <w:lastRenderedPageBreak/>
        <w:t>Theule, Joel</w:t>
      </w:r>
      <w:bookmarkEnd w:id="77"/>
      <w:bookmarkEnd w:id="78"/>
      <w:bookmarkEnd w:id="79"/>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80" w:name="_Toc442711246"/>
      <w:bookmarkStart w:id="81" w:name="_Toc443474249"/>
      <w:bookmarkStart w:id="82" w:name="_Toc447117105"/>
      <w:r w:rsidRPr="00B81E2A">
        <w:rPr>
          <w:rFonts w:ascii="Times New Roman" w:eastAsia="Times New Roman" w:hAnsi="Times New Roman" w:cs="Times New Roman"/>
          <w:b/>
          <w:bCs/>
          <w:sz w:val="24"/>
          <w:szCs w:val="24"/>
        </w:rPr>
        <w:t>Torkelson, Katie</w:t>
      </w:r>
      <w:bookmarkEnd w:id="80"/>
      <w:bookmarkEnd w:id="81"/>
      <w:bookmarkEnd w:id="82"/>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Southeastern American Society for Eighteenth-Century Studies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"Françoise de Graffigny, Feminism, and French Thought : A Reflection on"</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This presentation will be on the different forms of feminism in eighteenth-century France. Letters of a Peruvian Woman, an epistolary novel written by Françoise de Graffigny, the entry "Femmes" in Diderot's Encyclopédie, and general sentiments of the French toward women's roles in society will be discussed. The importance of the role-playing games "The Enlightenment in Crisis: Diderots Encyclopédie in a Parisian Salon, 1751-59" and "Rousseau, Burke, and Revolution in France, 1791", played in Professor Eick's Honors Junior Seminar, will also be explored.</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83" w:name="_Toc442711247"/>
      <w:bookmarkStart w:id="84" w:name="_Toc443474250"/>
      <w:bookmarkStart w:id="85" w:name="_Toc447117106"/>
      <w:r w:rsidRPr="00B81E2A">
        <w:rPr>
          <w:rFonts w:ascii="Times New Roman" w:eastAsia="Times New Roman" w:hAnsi="Times New Roman" w:cs="Times New Roman"/>
          <w:b/>
          <w:bCs/>
          <w:sz w:val="24"/>
          <w:szCs w:val="24"/>
        </w:rPr>
        <w:t>Utter, Jessica</w:t>
      </w:r>
      <w:bookmarkEnd w:id="83"/>
      <w:bookmarkEnd w:id="84"/>
      <w:bookmarkEnd w:id="85"/>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International Shakespeare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"Bard to Go - Puzzle the Will performance"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2013 GVSU BARD To GO Puzzle the Will The show features scenes from some of the most famous plays by William Shakespeare, including Othello, Hamlet, Macbeth, XII Night, Pericles. It combines moments of high dramatic tension with comedic episodes. The scenes are connected with a through line: a character borrowed from the world of videogames. The show tours middle and high schools in Michigan, bringing some of GVSU Shakespeare to younger audiences. Also, the show has been invited to be part of the International Shakespeare Festival in Prague (Czech Republic) and in Italy, by the Associazione Valle Christi, which operates a Festival and several cultural activities in Genoa, in the north of Italy. The production is sponsored by the School of Communication and by GVSU Shakespeare Festival.</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86" w:name="_Toc442711248"/>
      <w:bookmarkStart w:id="87" w:name="_Toc443474251"/>
      <w:bookmarkStart w:id="88" w:name="_Toc447117107"/>
      <w:r w:rsidRPr="00B81E2A">
        <w:rPr>
          <w:rFonts w:ascii="Times New Roman" w:eastAsia="Times New Roman" w:hAnsi="Times New Roman" w:cs="Times New Roman"/>
          <w:b/>
          <w:bCs/>
          <w:sz w:val="24"/>
          <w:szCs w:val="24"/>
        </w:rPr>
        <w:t>Westmaas, Chad</w:t>
      </w:r>
      <w:bookmarkEnd w:id="86"/>
      <w:bookmarkEnd w:id="87"/>
      <w:bookmarkEnd w:id="88"/>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40th Annual Meeting of the Southeastern American Society for Eighteenth-Century Studies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"Robespierre and Rousseau"</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Robespierre has long been a controversial figure in the history of the French Revolution. For many his name is synonymous with terror and death. Called The Incorruptible during his own life it is often difficult to reconcile these two realities. How could a man deemed incorruptible by many of his peers have stained his hands with so much blood? Some have seen his involvement in the Reign of Terror as proof that he was indeed corrupted, drawn to abandon his earlier ideals in favor of power. This, however, is not the only possible answer. Indeed, analysis of Robespierres speeches reveal the mind of a man who was not corrupted by a lust for power, but instead a man who pursued his ideologies to their ultimate ends, regardless of the consequences. Indeed it seems that Robespierre followed much of Rousseaus Social Contract religiously, despite evidence that his goals were untenable.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89" w:name="_Toc442711249"/>
      <w:bookmarkStart w:id="90" w:name="_Toc443474252"/>
      <w:bookmarkStart w:id="91" w:name="_Toc447117108"/>
      <w:r w:rsidRPr="00B81E2A">
        <w:rPr>
          <w:rFonts w:ascii="Times New Roman" w:eastAsia="Times New Roman" w:hAnsi="Times New Roman" w:cs="Times New Roman"/>
          <w:b/>
          <w:bCs/>
          <w:sz w:val="24"/>
          <w:szCs w:val="24"/>
        </w:rPr>
        <w:t>Wiener, Nicholas</w:t>
      </w:r>
      <w:bookmarkEnd w:id="89"/>
      <w:bookmarkEnd w:id="90"/>
      <w:bookmarkEnd w:id="91"/>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Men's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8"/>
        </w:rPr>
      </w:pPr>
      <w:bookmarkStart w:id="92" w:name="_Toc442711250"/>
      <w:bookmarkStart w:id="93" w:name="_Toc443474253"/>
      <w:bookmarkStart w:id="94" w:name="_Toc447117109"/>
      <w:r w:rsidRPr="00B81E2A">
        <w:rPr>
          <w:rFonts w:ascii="Times New Roman" w:eastAsia="Times New Roman" w:hAnsi="Times New Roman" w:cs="Times New Roman"/>
          <w:b/>
          <w:bCs/>
          <w:sz w:val="24"/>
          <w:szCs w:val="28"/>
        </w:rPr>
        <w:t>Williams, Alexander</w:t>
      </w:r>
      <w:bookmarkEnd w:id="92"/>
      <w:bookmarkEnd w:id="93"/>
      <w:bookmarkEnd w:id="94"/>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Intercollegiate Men's Choruses National Seminar</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Concert"</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GVSU Varsity Men, selected in a nationally competitive blind audition, will perform a forty-minute vocal concert highlighting both classic and new works for TTBB (Tenor, Tenor, Baritone, Bass) male chorus. They will perform alongside other elite and influential male choruses from across the country. The members will be offered unparalleled opportunities to observe sessions on a variety of vocal music pedagogic and performance techniques.</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keepNext/>
        <w:keepLines/>
        <w:spacing w:after="0" w:line="360" w:lineRule="auto"/>
        <w:contextualSpacing/>
        <w:outlineLvl w:val="0"/>
        <w:rPr>
          <w:rFonts w:ascii="Times New Roman" w:eastAsia="Times New Roman" w:hAnsi="Times New Roman" w:cs="Times New Roman"/>
          <w:b/>
          <w:bCs/>
          <w:sz w:val="24"/>
          <w:szCs w:val="24"/>
        </w:rPr>
      </w:pPr>
      <w:bookmarkStart w:id="95" w:name="_Toc442711251"/>
      <w:bookmarkStart w:id="96" w:name="_Toc443474254"/>
      <w:bookmarkStart w:id="97" w:name="_Toc447117110"/>
      <w:r w:rsidRPr="00B81E2A">
        <w:rPr>
          <w:rFonts w:ascii="Times New Roman" w:eastAsia="Times New Roman" w:hAnsi="Times New Roman" w:cs="Times New Roman"/>
          <w:b/>
          <w:bCs/>
          <w:sz w:val="24"/>
          <w:szCs w:val="24"/>
        </w:rPr>
        <w:t>Wright, Sean</w:t>
      </w:r>
      <w:bookmarkEnd w:id="95"/>
      <w:bookmarkEnd w:id="96"/>
      <w:bookmarkEnd w:id="97"/>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January - March FY14</w:t>
      </w: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Phi Alpha Theta National History Conference</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"Rising and Falling Against Imperium: The Capacities of Miitant Slave Revolt in the Roman Republic"</w:t>
      </w:r>
    </w:p>
    <w:p w:rsidR="00B81E2A" w:rsidRPr="00B81E2A" w:rsidRDefault="00B81E2A" w:rsidP="00B81E2A">
      <w:pPr>
        <w:spacing w:after="0" w:line="360" w:lineRule="auto"/>
        <w:contextualSpacing/>
        <w:rPr>
          <w:rFonts w:ascii="Times New Roman" w:eastAsia="Calibri" w:hAnsi="Times New Roman" w:cs="Times New Roman"/>
          <w:sz w:val="24"/>
          <w:szCs w:val="24"/>
        </w:rPr>
      </w:pPr>
    </w:p>
    <w:p w:rsidR="00B81E2A" w:rsidRPr="00B81E2A" w:rsidRDefault="00B81E2A" w:rsidP="00B81E2A">
      <w:pPr>
        <w:spacing w:after="0" w:line="360" w:lineRule="auto"/>
        <w:contextualSpacing/>
        <w:rPr>
          <w:rFonts w:ascii="Times New Roman" w:eastAsia="Calibri" w:hAnsi="Times New Roman" w:cs="Times New Roman"/>
          <w:sz w:val="24"/>
          <w:szCs w:val="24"/>
        </w:rPr>
      </w:pPr>
      <w:r w:rsidRPr="00B81E2A">
        <w:rPr>
          <w:rFonts w:ascii="Times New Roman" w:eastAsia="Calibri" w:hAnsi="Times New Roman" w:cs="Times New Roman"/>
          <w:sz w:val="24"/>
          <w:szCs w:val="24"/>
        </w:rPr>
        <w:t>Militant slave revolts during the Roman Republic succeeded and failed militarily and politically, causing Roman writers to reinforce and challenge the image of barbaric slaves.</w:t>
      </w:r>
    </w:p>
    <w:p w:rsidR="00882F56" w:rsidRPr="00B81E2A" w:rsidRDefault="006F22D1" w:rsidP="00B81E2A">
      <w:pPr>
        <w:tabs>
          <w:tab w:val="right" w:leader="dot" w:pos="9350"/>
        </w:tabs>
        <w:spacing w:after="100" w:line="240" w:lineRule="auto"/>
        <w:rPr>
          <w:rFonts w:ascii="Times New Roman" w:eastAsia="Times New Roman" w:hAnsi="Times New Roman" w:cs="Times New Roman"/>
          <w:noProof/>
        </w:rPr>
      </w:pPr>
    </w:p>
    <w:sectPr w:rsidR="00882F56" w:rsidRPr="00B81E2A" w:rsidSect="00B81E2A">
      <w:footerReference w:type="default" r:id="rId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2D1" w:rsidRDefault="006F22D1" w:rsidP="00B81E2A">
      <w:pPr>
        <w:spacing w:after="0" w:line="240" w:lineRule="auto"/>
      </w:pPr>
      <w:r>
        <w:separator/>
      </w:r>
    </w:p>
  </w:endnote>
  <w:endnote w:type="continuationSeparator" w:id="0">
    <w:p w:rsidR="006F22D1" w:rsidRDefault="006F22D1" w:rsidP="00B81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999799"/>
      <w:docPartObj>
        <w:docPartGallery w:val="Page Numbers (Bottom of Page)"/>
        <w:docPartUnique/>
      </w:docPartObj>
    </w:sdtPr>
    <w:sdtEndPr>
      <w:rPr>
        <w:noProof/>
      </w:rPr>
    </w:sdtEndPr>
    <w:sdtContent>
      <w:p w:rsidR="00B81E2A" w:rsidRDefault="00B81E2A">
        <w:pPr>
          <w:pStyle w:val="Footer"/>
          <w:jc w:val="center"/>
        </w:pPr>
        <w:r>
          <w:fldChar w:fldCharType="begin"/>
        </w:r>
        <w:r>
          <w:instrText xml:space="preserve"> PAGE   \* MERGEFORMAT </w:instrText>
        </w:r>
        <w:r>
          <w:fldChar w:fldCharType="separate"/>
        </w:r>
        <w:r w:rsidR="00A760B6">
          <w:rPr>
            <w:noProof/>
          </w:rPr>
          <w:t>16</w:t>
        </w:r>
        <w:r>
          <w:rPr>
            <w:noProof/>
          </w:rPr>
          <w:fldChar w:fldCharType="end"/>
        </w:r>
      </w:p>
    </w:sdtContent>
  </w:sdt>
  <w:p w:rsidR="00B81E2A" w:rsidRDefault="00B81E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2D1" w:rsidRDefault="006F22D1" w:rsidP="00B81E2A">
      <w:pPr>
        <w:spacing w:after="0" w:line="240" w:lineRule="auto"/>
      </w:pPr>
      <w:r>
        <w:separator/>
      </w:r>
    </w:p>
  </w:footnote>
  <w:footnote w:type="continuationSeparator" w:id="0">
    <w:p w:rsidR="006F22D1" w:rsidRDefault="006F22D1" w:rsidP="00B81E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2A"/>
    <w:rsid w:val="005D4455"/>
    <w:rsid w:val="006F22D1"/>
    <w:rsid w:val="008254AF"/>
    <w:rsid w:val="008C5314"/>
    <w:rsid w:val="00A760B6"/>
    <w:rsid w:val="00B81E2A"/>
    <w:rsid w:val="00F84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470879-96D3-44C9-99D3-46F6C02EC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60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2A"/>
  </w:style>
  <w:style w:type="paragraph" w:styleId="Footer">
    <w:name w:val="footer"/>
    <w:basedOn w:val="Normal"/>
    <w:link w:val="FooterChar"/>
    <w:uiPriority w:val="99"/>
    <w:unhideWhenUsed/>
    <w:rsid w:val="00B81E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2A"/>
  </w:style>
  <w:style w:type="character" w:customStyle="1" w:styleId="Heading1Char">
    <w:name w:val="Heading 1 Char"/>
    <w:basedOn w:val="DefaultParagraphFont"/>
    <w:link w:val="Heading1"/>
    <w:uiPriority w:val="9"/>
    <w:rsid w:val="00A760B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4478</Words>
  <Characters>25528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29947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3</cp:revision>
  <cp:lastPrinted>2016-07-15T15:08:00Z</cp:lastPrinted>
  <dcterms:created xsi:type="dcterms:W3CDTF">2016-07-15T14:57:00Z</dcterms:created>
  <dcterms:modified xsi:type="dcterms:W3CDTF">2016-08-12T19:23:00Z</dcterms:modified>
</cp:coreProperties>
</file>