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0F975" w14:textId="77777777" w:rsidR="005D02C0" w:rsidRDefault="005D02C0" w:rsidP="002E68DE">
      <w:pPr>
        <w:pStyle w:val="Heading3"/>
      </w:pPr>
      <w:r>
        <w:t>SPECIAL FOCUS</w:t>
      </w:r>
    </w:p>
    <w:p w14:paraId="406ADA48" w14:textId="44150BAB" w:rsidR="00A24A2D" w:rsidRDefault="00A24A2D" w:rsidP="00AD7D29"/>
    <w:p w14:paraId="3E6B16BA" w14:textId="393A05E6" w:rsidR="005D02C0" w:rsidRPr="002E68DE" w:rsidRDefault="005D02C0" w:rsidP="002E68DE">
      <w:pPr>
        <w:pStyle w:val="Title"/>
        <w:rPr>
          <w:w w:val="95"/>
        </w:rPr>
      </w:pPr>
      <w:r>
        <w:rPr>
          <w:w w:val="95"/>
        </w:rPr>
        <w:t>Measuring Value</w:t>
      </w:r>
      <w:r w:rsidR="002E68DE">
        <w:rPr>
          <w:w w:val="95"/>
        </w:rPr>
        <w:t xml:space="preserve">: </w:t>
      </w:r>
      <w:r w:rsidRPr="002E68DE">
        <w:rPr>
          <w:rFonts w:cs="AGaramondPro-Regular"/>
          <w:spacing w:val="4"/>
          <w:sz w:val="35"/>
          <w:szCs w:val="35"/>
        </w:rPr>
        <w:t>University Libraries takes a multi-faceted approach to the assessment of its role in student success</w:t>
      </w:r>
    </w:p>
    <w:p w14:paraId="620E03C2" w14:textId="77777777" w:rsidR="00AD7D29" w:rsidRDefault="00AD7D29" w:rsidP="00AD7D29"/>
    <w:p w14:paraId="3DAE66CC" w14:textId="5B46D03E" w:rsidR="005D02C0" w:rsidRPr="002E68DE" w:rsidRDefault="002E68DE" w:rsidP="002E68DE">
      <w:pPr>
        <w:pStyle w:val="Heading3"/>
      </w:pPr>
      <w:r>
        <w:t xml:space="preserve">Article by </w:t>
      </w:r>
      <w:r w:rsidR="005D02C0">
        <w:rPr>
          <w:rFonts w:ascii="AGaramondPro-Bold" w:hAnsi="AGaramondPro-Bold" w:cs="AGaramondPro-Bold"/>
          <w:b/>
          <w:bCs/>
          <w:sz w:val="20"/>
          <w:szCs w:val="20"/>
        </w:rPr>
        <w:t>Mary O’Kelly</w:t>
      </w:r>
      <w:r>
        <w:t xml:space="preserve"> </w:t>
      </w:r>
      <w:r w:rsidR="005D02C0">
        <w:rPr>
          <w:rFonts w:ascii="AGaramondPro-Regular" w:hAnsi="AGaramondPro-Regular" w:cs="AGaramondPro-Regular"/>
          <w:sz w:val="20"/>
          <w:szCs w:val="20"/>
        </w:rPr>
        <w:t xml:space="preserve">okellym@gvsu.edu </w:t>
      </w:r>
    </w:p>
    <w:p w14:paraId="4D02592F" w14:textId="66AA6EB5" w:rsidR="005D02C0" w:rsidRDefault="005D02C0" w:rsidP="002E68DE">
      <w:pPr>
        <w:pStyle w:val="Heading3"/>
        <w:rPr>
          <w:rFonts w:ascii="AGaramondPro-Regular" w:hAnsi="AGaramondPro-Regular" w:cs="AGaramondPro-Regular"/>
          <w:sz w:val="20"/>
          <w:szCs w:val="20"/>
        </w:rPr>
      </w:pPr>
      <w:r>
        <w:rPr>
          <w:rFonts w:ascii="AGaramondPro-Regular" w:hAnsi="AGaramondPro-Regular" w:cs="AGaramondPro-Regular"/>
          <w:sz w:val="20"/>
          <w:szCs w:val="20"/>
        </w:rPr>
        <w:t>Head of Instructional Services for University Libraries</w:t>
      </w:r>
    </w:p>
    <w:p w14:paraId="33660459" w14:textId="79BEC1C0" w:rsidR="005D02C0" w:rsidRDefault="005D02C0" w:rsidP="002E68DE">
      <w:pPr>
        <w:pStyle w:val="Heading3"/>
        <w:rPr>
          <w:rFonts w:ascii="AGaramondPro-Italic" w:hAnsi="AGaramondPro-Italic" w:cs="AGaramondPro-Italic"/>
          <w:i/>
          <w:iCs/>
          <w:spacing w:val="-2"/>
          <w:sz w:val="20"/>
          <w:szCs w:val="20"/>
        </w:rPr>
      </w:pPr>
      <w:r>
        <w:rPr>
          <w:rFonts w:ascii="AGaramondPro-Italic" w:hAnsi="AGaramondPro-Italic" w:cs="AGaramondPro-Italic"/>
          <w:i/>
          <w:iCs/>
          <w:sz w:val="20"/>
          <w:szCs w:val="20"/>
        </w:rPr>
        <w:t>Mary</w:t>
      </w:r>
      <w:r>
        <w:rPr>
          <w:rFonts w:ascii="AGaramondPro-Italic" w:hAnsi="AGaramondPro-Italic" w:cs="AGaramondPro-Italic"/>
          <w:i/>
          <w:iCs/>
          <w:spacing w:val="-2"/>
          <w:sz w:val="20"/>
          <w:szCs w:val="20"/>
        </w:rPr>
        <w:t xml:space="preserve"> O’Kelly is an associate </w:t>
      </w:r>
      <w:r>
        <w:rPr>
          <w:rFonts w:ascii="AGaramondPro-Italic" w:hAnsi="AGaramondPro-Italic" w:cs="AGaramondPro-Italic"/>
          <w:i/>
          <w:iCs/>
          <w:spacing w:val="-4"/>
          <w:sz w:val="20"/>
          <w:szCs w:val="20"/>
        </w:rPr>
        <w:t xml:space="preserve">librarian and head of instructional </w:t>
      </w:r>
      <w:r>
        <w:rPr>
          <w:rFonts w:ascii="AGaramondPro-Italic" w:hAnsi="AGaramondPro-Italic" w:cs="AGaramondPro-Italic"/>
          <w:i/>
          <w:iCs/>
          <w:spacing w:val="4"/>
          <w:sz w:val="20"/>
          <w:szCs w:val="20"/>
        </w:rPr>
        <w:t xml:space="preserve">services. She is responsible for </w:t>
      </w:r>
      <w:r>
        <w:rPr>
          <w:rFonts w:ascii="AGaramondPro-Italic" w:hAnsi="AGaramondPro-Italic" w:cs="AGaramondPro-Italic"/>
          <w:i/>
          <w:iCs/>
          <w:spacing w:val="-4"/>
          <w:sz w:val="20"/>
          <w:szCs w:val="20"/>
        </w:rPr>
        <w:t xml:space="preserve">planning and assessment of library </w:t>
      </w:r>
      <w:r>
        <w:rPr>
          <w:rFonts w:ascii="AGaramondPro-Italic" w:hAnsi="AGaramondPro-Italic" w:cs="AGaramondPro-Italic"/>
          <w:i/>
          <w:iCs/>
          <w:spacing w:val="-2"/>
          <w:sz w:val="20"/>
          <w:szCs w:val="20"/>
        </w:rPr>
        <w:t>instruction activities, including in-class and online teaching, student peer mentoring, and library workshops for faculty and staff.</w:t>
      </w:r>
    </w:p>
    <w:p w14:paraId="261BE188" w14:textId="77777777" w:rsidR="005D02C0" w:rsidRDefault="005D02C0" w:rsidP="005D02C0">
      <w:pPr>
        <w:pStyle w:val="BasicParagraph"/>
        <w:suppressAutoHyphens/>
        <w:rPr>
          <w:rFonts w:ascii="AGaramondPro-Italic" w:hAnsi="AGaramondPro-Italic" w:cs="AGaramondPro-Italic"/>
          <w:i/>
          <w:iCs/>
          <w:spacing w:val="-2"/>
          <w:sz w:val="20"/>
          <w:szCs w:val="20"/>
        </w:rPr>
      </w:pPr>
    </w:p>
    <w:p w14:paraId="33509F34" w14:textId="77777777" w:rsidR="005D02C0" w:rsidRDefault="005D02C0" w:rsidP="002E68DE">
      <w:pPr>
        <w:rPr>
          <w:spacing w:val="-2"/>
        </w:rPr>
      </w:pPr>
      <w:r>
        <w:rPr>
          <w:spacing w:val="4"/>
        </w:rPr>
        <w:t>Librarians teach information literacy to</w:t>
      </w:r>
      <w:r>
        <w:rPr>
          <w:spacing w:val="-2"/>
        </w:rPr>
        <w:t xml:space="preserve"> nearly 10,000 Grand Valley State University </w:t>
      </w:r>
      <w:r>
        <w:t xml:space="preserve">students every year. Information literacy—an important set of critical thinking skills and concepts that include the ability to efficiently </w:t>
      </w:r>
      <w:r>
        <w:rPr>
          <w:spacing w:val="2"/>
        </w:rPr>
        <w:t xml:space="preserve">find, critically evaluate, and ethically use information—is deeply embedded into the curriculum at Grand Valley. It is a </w:t>
      </w:r>
      <w:r>
        <w:rPr>
          <w:spacing w:val="-2"/>
        </w:rPr>
        <w:t xml:space="preserve">core component of the general education </w:t>
      </w:r>
      <w:r>
        <w:rPr>
          <w:spacing w:val="2"/>
        </w:rPr>
        <w:t xml:space="preserve">curriculum, is woven through classroom </w:t>
      </w:r>
      <w:r>
        <w:rPr>
          <w:spacing w:val="-2"/>
        </w:rPr>
        <w:t xml:space="preserve">assignments, and is a crucial life skill that </w:t>
      </w:r>
      <w:r>
        <w:rPr>
          <w:spacing w:val="-6"/>
        </w:rPr>
        <w:t xml:space="preserve">prepares students to be engaged, thoughtful, </w:t>
      </w:r>
      <w:r>
        <w:rPr>
          <w:spacing w:val="2"/>
        </w:rPr>
        <w:t>well-informed citizens.</w:t>
      </w:r>
      <w:bookmarkStart w:id="0" w:name="_GoBack"/>
      <w:bookmarkEnd w:id="0"/>
    </w:p>
    <w:p w14:paraId="36F8596B" w14:textId="77777777" w:rsidR="005D02C0" w:rsidRDefault="005D02C0" w:rsidP="002E68DE">
      <w:pPr>
        <w:rPr>
          <w:spacing w:val="-2"/>
        </w:rPr>
      </w:pPr>
      <w:r>
        <w:rPr>
          <w:spacing w:val="6"/>
        </w:rPr>
        <w:t xml:space="preserve">University Libraries takes great care in knowing and communicating </w:t>
      </w:r>
      <w:r>
        <w:rPr>
          <w:rFonts w:ascii="AGaramondPro-Italic" w:hAnsi="AGaramondPro-Italic" w:cs="AGaramondPro-Italic"/>
          <w:i/>
          <w:iCs/>
          <w:spacing w:val="6"/>
        </w:rPr>
        <w:t>what</w:t>
      </w:r>
      <w:r>
        <w:rPr>
          <w:spacing w:val="6"/>
        </w:rPr>
        <w:t xml:space="preserve"> </w:t>
      </w:r>
      <w:r>
        <w:t xml:space="preserve">information literacy is and </w:t>
      </w:r>
      <w:r>
        <w:rPr>
          <w:rFonts w:ascii="AGaramondPro-Italic" w:hAnsi="AGaramondPro-Italic" w:cs="AGaramondPro-Italic"/>
          <w:i/>
          <w:iCs/>
        </w:rPr>
        <w:t xml:space="preserve">why </w:t>
      </w:r>
      <w:r>
        <w:t xml:space="preserve">it’s important. </w:t>
      </w:r>
      <w:r>
        <w:rPr>
          <w:spacing w:val="-2"/>
        </w:rPr>
        <w:t xml:space="preserve">Librarians also care about </w:t>
      </w:r>
      <w:r>
        <w:rPr>
          <w:rFonts w:ascii="AGaramondPro-Italic" w:hAnsi="AGaramondPro-Italic" w:cs="AGaramondPro-Italic"/>
          <w:i/>
          <w:iCs/>
          <w:spacing w:val="-2"/>
        </w:rPr>
        <w:t>how well</w:t>
      </w:r>
      <w:r>
        <w:rPr>
          <w:spacing w:val="-2"/>
        </w:rPr>
        <w:t xml:space="preserve"> students </w:t>
      </w:r>
      <w:r>
        <w:rPr>
          <w:spacing w:val="4"/>
        </w:rPr>
        <w:t xml:space="preserve">recognize and can apply it. Information </w:t>
      </w:r>
      <w:r>
        <w:rPr>
          <w:spacing w:val="-2"/>
        </w:rPr>
        <w:t xml:space="preserve">literacy is regularly assessed at Grand Valley, on a small scale in individual courses and on a very large scale using national assessments </w:t>
      </w:r>
      <w:r>
        <w:rPr>
          <w:spacing w:val="2"/>
        </w:rPr>
        <w:t xml:space="preserve">such as the National Survey of Student Engagement (NSSE) information literacy </w:t>
      </w:r>
      <w:r>
        <w:t xml:space="preserve">module and the Standardized Assessment of </w:t>
      </w:r>
      <w:r>
        <w:rPr>
          <w:spacing w:val="-2"/>
        </w:rPr>
        <w:t>Information Literacy Skills (SAILS).</w:t>
      </w:r>
    </w:p>
    <w:p w14:paraId="708B3B4E" w14:textId="77777777" w:rsidR="005D02C0" w:rsidRDefault="005D02C0" w:rsidP="002E68DE">
      <w:pPr>
        <w:rPr>
          <w:spacing w:val="4"/>
        </w:rPr>
      </w:pPr>
      <w:r>
        <w:rPr>
          <w:spacing w:val="4"/>
        </w:rPr>
        <w:t xml:space="preserve">Although these national assessments reveal interesting trends, they can miss </w:t>
      </w:r>
      <w:r>
        <w:rPr>
          <w:spacing w:val="2"/>
        </w:rPr>
        <w:t xml:space="preserve">local details. For example, some libraries, </w:t>
      </w:r>
      <w:r>
        <w:rPr>
          <w:spacing w:val="6"/>
        </w:rPr>
        <w:t xml:space="preserve">including Grand Valley’s, have shifted </w:t>
      </w:r>
      <w:r>
        <w:rPr>
          <w:spacing w:val="2"/>
        </w:rPr>
        <w:t xml:space="preserve">into a more modern program structure, </w:t>
      </w:r>
      <w:r>
        <w:rPr>
          <w:spacing w:val="6"/>
        </w:rPr>
        <w:t xml:space="preserve">with a single service desk for all user </w:t>
      </w:r>
      <w:r>
        <w:rPr>
          <w:spacing w:val="2"/>
        </w:rPr>
        <w:t xml:space="preserve">questions. When the SAILS assessment </w:t>
      </w:r>
      <w:r>
        <w:t xml:space="preserve">survey asked Grand Valley students about the difference between the reference desk </w:t>
      </w:r>
      <w:r>
        <w:rPr>
          <w:spacing w:val="2"/>
        </w:rPr>
        <w:t xml:space="preserve">and the circulation desk, the answer was </w:t>
      </w:r>
      <w:r>
        <w:t xml:space="preserve">meaningless because University Libraries </w:t>
      </w:r>
      <w:r>
        <w:rPr>
          <w:spacing w:val="2"/>
        </w:rPr>
        <w:t xml:space="preserve">phased out this traditional structure. </w:t>
      </w:r>
      <w:r>
        <w:rPr>
          <w:spacing w:val="4"/>
        </w:rPr>
        <w:t xml:space="preserve">To supplement those general national assessments, we also have developed </w:t>
      </w:r>
      <w:r>
        <w:rPr>
          <w:spacing w:val="-2"/>
        </w:rPr>
        <w:t xml:space="preserve">unique, customized assessment activities </w:t>
      </w:r>
      <w:r>
        <w:rPr>
          <w:spacing w:val="4"/>
        </w:rPr>
        <w:t>because the libraries’ programs and facilities have unique characteristics.</w:t>
      </w:r>
    </w:p>
    <w:p w14:paraId="286F0C95" w14:textId="77777777" w:rsidR="005D02C0" w:rsidRDefault="005D02C0" w:rsidP="002E68DE">
      <w:pPr>
        <w:pStyle w:val="Heading1"/>
        <w:rPr>
          <w:rFonts w:ascii="AGaramondPro-Regular" w:hAnsi="AGaramondPro-Regular" w:cs="AGaramondPro-Regular"/>
        </w:rPr>
      </w:pPr>
      <w:r>
        <w:t>Assessing the Instruction Program</w:t>
      </w:r>
    </w:p>
    <w:p w14:paraId="474283AD" w14:textId="77777777" w:rsidR="005D02C0" w:rsidRDefault="005D02C0" w:rsidP="002E68DE">
      <w:pPr>
        <w:rPr>
          <w:spacing w:val="-2"/>
        </w:rPr>
      </w:pPr>
      <w:r>
        <w:t xml:space="preserve">The instruction program is one of the main </w:t>
      </w:r>
      <w:r>
        <w:rPr>
          <w:spacing w:val="2"/>
        </w:rPr>
        <w:t xml:space="preserve">ways University Libraries reaches students </w:t>
      </w:r>
      <w:r>
        <w:rPr>
          <w:spacing w:val="-2"/>
        </w:rPr>
        <w:t xml:space="preserve">with information literacy. This multi-faceted </w:t>
      </w:r>
      <w:r>
        <w:rPr>
          <w:spacing w:val="6"/>
        </w:rPr>
        <w:t xml:space="preserve">program includes a range of activities, </w:t>
      </w:r>
      <w:r>
        <w:t xml:space="preserve">including librarian collaboration with faculty </w:t>
      </w:r>
      <w:r>
        <w:rPr>
          <w:spacing w:val="-2"/>
        </w:rPr>
        <w:t xml:space="preserve">to craft research assignments, librarian video </w:t>
      </w:r>
      <w:r>
        <w:t xml:space="preserve">tutorials in Blackboard, and librarian-led class sessions to teach students information literacy </w:t>
      </w:r>
      <w:r>
        <w:rPr>
          <w:spacing w:val="-2"/>
        </w:rPr>
        <w:t>skills in connection with course assignments.</w:t>
      </w:r>
    </w:p>
    <w:p w14:paraId="5DC24BA1" w14:textId="77777777" w:rsidR="005D02C0" w:rsidRDefault="005D02C0" w:rsidP="002E68DE">
      <w:pPr>
        <w:rPr>
          <w:spacing w:val="-2"/>
        </w:rPr>
      </w:pPr>
      <w:r>
        <w:rPr>
          <w:spacing w:val="4"/>
        </w:rPr>
        <w:t xml:space="preserve">In order to complement national </w:t>
      </w:r>
      <w:r>
        <w:t xml:space="preserve">assessments and provide a more localized </w:t>
      </w:r>
      <w:r>
        <w:rPr>
          <w:spacing w:val="-6"/>
        </w:rPr>
        <w:t xml:space="preserve">understanding of impact, University Libraries </w:t>
      </w:r>
      <w:r>
        <w:rPr>
          <w:spacing w:val="2"/>
        </w:rPr>
        <w:t xml:space="preserve">and Rachael </w:t>
      </w:r>
      <w:proofErr w:type="spellStart"/>
      <w:r>
        <w:rPr>
          <w:spacing w:val="2"/>
        </w:rPr>
        <w:t>Passarelli</w:t>
      </w:r>
      <w:proofErr w:type="spellEnd"/>
      <w:r>
        <w:rPr>
          <w:spacing w:val="2"/>
        </w:rPr>
        <w:t xml:space="preserve"> from Institutional</w:t>
      </w:r>
      <w:r>
        <w:t xml:space="preserve"> Analysis have worked together since 2012 to </w:t>
      </w:r>
      <w:r>
        <w:rPr>
          <w:spacing w:val="-2"/>
        </w:rPr>
        <w:t xml:space="preserve">answer some fundamental questions about </w:t>
      </w:r>
      <w:r>
        <w:t xml:space="preserve">the University Libraries </w:t>
      </w:r>
      <w:r>
        <w:lastRenderedPageBreak/>
        <w:t xml:space="preserve">instruction program. This partnership has found, for example, that during the 2015-2016 academic year, liaison librarians taught 9,795 students in 69 major </w:t>
      </w:r>
      <w:r>
        <w:rPr>
          <w:spacing w:val="2"/>
        </w:rPr>
        <w:t xml:space="preserve">programs. Four programs had more than </w:t>
      </w:r>
      <w:r>
        <w:t xml:space="preserve">50% of their students work with a librarian in </w:t>
      </w:r>
      <w:r>
        <w:rPr>
          <w:spacing w:val="-2"/>
        </w:rPr>
        <w:t xml:space="preserve">class: history of science; women, gender, and </w:t>
      </w:r>
      <w:r>
        <w:t>sexuality studies; athletic training; and writing.</w:t>
      </w:r>
    </w:p>
    <w:p w14:paraId="78A15C69" w14:textId="46AFB3FD" w:rsidR="005D02C0" w:rsidRPr="002E68DE" w:rsidRDefault="005D02C0" w:rsidP="002E68DE">
      <w:pPr>
        <w:rPr>
          <w:spacing w:val="-2"/>
        </w:rPr>
      </w:pPr>
      <w:r>
        <w:rPr>
          <w:spacing w:val="2"/>
        </w:rPr>
        <w:t xml:space="preserve">Liaison librarians also pay attention to how well library instruction is distributed </w:t>
      </w:r>
      <w:r>
        <w:t xml:space="preserve">across the curriculum. The top five courses by </w:t>
      </w:r>
      <w:r>
        <w:rPr>
          <w:spacing w:val="-2"/>
        </w:rPr>
        <w:t xml:space="preserve">raw number of students who saw a librarian </w:t>
      </w:r>
      <w:r>
        <w:rPr>
          <w:spacing w:val="4"/>
        </w:rPr>
        <w:t xml:space="preserve">in class are in writing; history; women, </w:t>
      </w:r>
      <w:r>
        <w:t xml:space="preserve">gender, and sexuality studies; economics; and </w:t>
      </w:r>
      <w:r>
        <w:rPr>
          <w:spacing w:val="2"/>
        </w:rPr>
        <w:t>biomedical science, representing a mix of humanities, social sciences, and sciences.</w:t>
      </w:r>
    </w:p>
    <w:p w14:paraId="61630F2C" w14:textId="77777777" w:rsidR="005D02C0" w:rsidRDefault="005D02C0" w:rsidP="002E68DE">
      <w:pPr>
        <w:pStyle w:val="Heading1"/>
        <w:rPr>
          <w:rFonts w:ascii="AGaramondPro-Regular" w:hAnsi="AGaramondPro-Regular" w:cs="AGaramondPro-Regular"/>
        </w:rPr>
      </w:pPr>
      <w:r>
        <w:t>Assessing the Knowledge Market</w:t>
      </w:r>
    </w:p>
    <w:p w14:paraId="3049F276" w14:textId="77777777" w:rsidR="005D02C0" w:rsidRDefault="005D02C0" w:rsidP="002E68DE">
      <w:r>
        <w:rPr>
          <w:spacing w:val="4"/>
        </w:rPr>
        <w:t xml:space="preserve">Library instruction is only one </w:t>
      </w:r>
      <w:proofErr w:type="gramStart"/>
      <w:r>
        <w:rPr>
          <w:spacing w:val="4"/>
        </w:rPr>
        <w:t>way</w:t>
      </w:r>
      <w:proofErr w:type="gramEnd"/>
      <w:r>
        <w:rPr>
          <w:spacing w:val="4"/>
        </w:rPr>
        <w:t xml:space="preserve"> </w:t>
      </w:r>
      <w:r>
        <w:t xml:space="preserve">University Libraries supports information </w:t>
      </w:r>
      <w:r>
        <w:rPr>
          <w:spacing w:val="6"/>
        </w:rPr>
        <w:t xml:space="preserve">literacy in the curriculum. Research </w:t>
      </w:r>
      <w:r>
        <w:t xml:space="preserve">consultants in the Knowledge Market, who are well-trained and highly motivated student </w:t>
      </w:r>
      <w:r>
        <w:rPr>
          <w:spacing w:val="2"/>
        </w:rPr>
        <w:t xml:space="preserve">employees, work with their peers to talk </w:t>
      </w:r>
      <w:r>
        <w:rPr>
          <w:spacing w:val="-2"/>
        </w:rPr>
        <w:t xml:space="preserve">through the process of library research and </w:t>
      </w:r>
      <w:r>
        <w:t xml:space="preserve">evaluating sources. Using Kenneth </w:t>
      </w:r>
      <w:proofErr w:type="spellStart"/>
      <w:r>
        <w:t>Bruffee’s</w:t>
      </w:r>
      <w:proofErr w:type="spellEnd"/>
      <w:r>
        <w:t xml:space="preserve"> </w:t>
      </w:r>
      <w:r>
        <w:rPr>
          <w:spacing w:val="-2"/>
        </w:rPr>
        <w:t xml:space="preserve">model of “Collaborative Learning and the </w:t>
      </w:r>
      <w:r>
        <w:t xml:space="preserve">‘Conversation of Mankind’” (1984), the </w:t>
      </w:r>
      <w:r>
        <w:rPr>
          <w:spacing w:val="-2"/>
        </w:rPr>
        <w:t>consultants engage in collaborative peer-to-</w:t>
      </w:r>
      <w:r>
        <w:t>peer learning to explore information literacy.</w:t>
      </w:r>
    </w:p>
    <w:p w14:paraId="0C4545A5" w14:textId="48F4C171" w:rsidR="005D02C0" w:rsidRDefault="005D02C0" w:rsidP="002E68DE">
      <w:pPr>
        <w:rPr>
          <w:spacing w:val="-2"/>
        </w:rPr>
      </w:pPr>
      <w:r>
        <w:rPr>
          <w:spacing w:val="2"/>
        </w:rPr>
        <w:t>In a study conducted by educational researcher Barry J. Zimmerman, self-</w:t>
      </w:r>
      <w:r>
        <w:t>efficacy has been found to be a predictor of student achievement.  Self-efficacy describes</w:t>
      </w:r>
      <w:r>
        <w:rPr>
          <w:spacing w:val="-2"/>
        </w:rPr>
        <w:t xml:space="preserve"> </w:t>
      </w:r>
      <w:r>
        <w:rPr>
          <w:spacing w:val="2"/>
        </w:rPr>
        <w:t xml:space="preserve">confidence in one’s ability to influence </w:t>
      </w:r>
      <w:r>
        <w:t xml:space="preserve">personal success. Therefore, one of the goals </w:t>
      </w:r>
      <w:r>
        <w:rPr>
          <w:spacing w:val="2"/>
        </w:rPr>
        <w:t xml:space="preserve">of the Knowledge Market is to improve students’ confidence in themselves. After every consultation, students are given a survey that asks whether they feel more </w:t>
      </w:r>
      <w:r>
        <w:t xml:space="preserve">confident completing their assignment, using </w:t>
      </w:r>
      <w:r>
        <w:rPr>
          <w:spacing w:val="-2"/>
        </w:rPr>
        <w:t xml:space="preserve">self-reported confidence as a possible marker </w:t>
      </w:r>
      <w:r>
        <w:rPr>
          <w:spacing w:val="2"/>
        </w:rPr>
        <w:t xml:space="preserve">for self-efficacy, and 97% say, yes, they do </w:t>
      </w:r>
      <w:r>
        <w:rPr>
          <w:spacing w:val="-2"/>
        </w:rPr>
        <w:t>feel more confident.</w:t>
      </w:r>
    </w:p>
    <w:p w14:paraId="588D90A0" w14:textId="77777777" w:rsidR="005D02C0" w:rsidRDefault="005D02C0" w:rsidP="002E68DE">
      <w:pPr>
        <w:pStyle w:val="Heading1"/>
        <w:rPr>
          <w:rFonts w:ascii="AGaramondPro-Regular" w:hAnsi="AGaramondPro-Regular" w:cs="AGaramondPro-Regular"/>
        </w:rPr>
      </w:pPr>
      <w:r>
        <w:t>Student Retention</w:t>
      </w:r>
    </w:p>
    <w:p w14:paraId="49F2211E" w14:textId="77777777" w:rsidR="005D02C0" w:rsidRDefault="005D02C0" w:rsidP="002E68DE">
      <w:pPr>
        <w:rPr>
          <w:spacing w:val="-2"/>
        </w:rPr>
      </w:pPr>
      <w:r>
        <w:rPr>
          <w:spacing w:val="2"/>
        </w:rPr>
        <w:t xml:space="preserve">Working with Institutional Analysis, University Libraries has discovered a </w:t>
      </w:r>
      <w:r>
        <w:rPr>
          <w:spacing w:val="-2"/>
        </w:rPr>
        <w:t xml:space="preserve">correlation between Grand Valley library </w:t>
      </w:r>
      <w:r>
        <w:t xml:space="preserve">instruction and student retention. Students who have a librarian visit class re-enroll at a higher rate the following fall than students who do not have a librarian in class. This does not mean that library instruction has a direct effect on retention, but it certainly is interesting that this significant difference </w:t>
      </w:r>
      <w:r>
        <w:rPr>
          <w:spacing w:val="-2"/>
        </w:rPr>
        <w:t>in retention has been found four years in a row. These results provide a good foundation to begin additional robust measurements of student success and how libraries contribute.</w:t>
      </w:r>
    </w:p>
    <w:p w14:paraId="2F41FFB8" w14:textId="3EDFB2D7" w:rsidR="005D02C0" w:rsidRDefault="005D02C0" w:rsidP="002E68DE">
      <w:r>
        <w:t xml:space="preserve">Many other academic libraries also are actively exploring the relationship between library use and student success. Some have found positive relationships between </w:t>
      </w:r>
      <w:r>
        <w:rPr>
          <w:spacing w:val="-2"/>
        </w:rPr>
        <w:t xml:space="preserve">general library use (e.g., checking out books </w:t>
      </w:r>
      <w:r>
        <w:t xml:space="preserve">and logging into databases) and retention, first-year student library use and retention, library use and grade-point average, and library expenditures and retention. All </w:t>
      </w:r>
      <w:r>
        <w:rPr>
          <w:spacing w:val="4"/>
        </w:rPr>
        <w:t>of this points to library use—use of programs, spaces, and resources—as a way to actively engage students.</w:t>
      </w:r>
    </w:p>
    <w:p w14:paraId="11FC147B" w14:textId="77777777" w:rsidR="005D02C0" w:rsidRDefault="005D02C0" w:rsidP="002E68DE">
      <w:pPr>
        <w:rPr>
          <w:spacing w:val="2"/>
        </w:rPr>
      </w:pPr>
      <w:r>
        <w:rPr>
          <w:spacing w:val="4"/>
        </w:rPr>
        <w:t xml:space="preserve">George D. </w:t>
      </w:r>
      <w:proofErr w:type="spellStart"/>
      <w:r>
        <w:rPr>
          <w:spacing w:val="4"/>
        </w:rPr>
        <w:t>Kuh</w:t>
      </w:r>
      <w:proofErr w:type="spellEnd"/>
      <w:r>
        <w:rPr>
          <w:spacing w:val="4"/>
        </w:rPr>
        <w:t xml:space="preserve"> (2008) identified ten high-impact practices in “High-Impact Educational Practices: What They Are, </w:t>
      </w:r>
      <w:r>
        <w:t xml:space="preserve">Who has Access to Them, and Why They </w:t>
      </w:r>
      <w:r>
        <w:rPr>
          <w:spacing w:val="2"/>
        </w:rPr>
        <w:t xml:space="preserve">Matter.” The library is deeply embedded </w:t>
      </w:r>
      <w:r>
        <w:t>into these practices, which are believed to positively influence student achievement</w:t>
      </w:r>
      <w:r>
        <w:rPr>
          <w:spacing w:val="2"/>
        </w:rPr>
        <w:t xml:space="preserve"> </w:t>
      </w:r>
      <w:r>
        <w:rPr>
          <w:spacing w:val="6"/>
        </w:rPr>
        <w:t xml:space="preserve">and retention. Library activities can be directly mapped to every high-impact practice, further suggesting a strong </w:t>
      </w:r>
      <w:r>
        <w:rPr>
          <w:spacing w:val="-2"/>
        </w:rPr>
        <w:t xml:space="preserve">relationship between student engagement </w:t>
      </w:r>
      <w:r>
        <w:rPr>
          <w:spacing w:val="2"/>
        </w:rPr>
        <w:t xml:space="preserve">and library </w:t>
      </w:r>
      <w:r>
        <w:rPr>
          <w:spacing w:val="2"/>
        </w:rPr>
        <w:lastRenderedPageBreak/>
        <w:t xml:space="preserve">use. For example, one high-impact practice is diversity and global </w:t>
      </w:r>
      <w:r>
        <w:rPr>
          <w:spacing w:val="6"/>
        </w:rPr>
        <w:t xml:space="preserve">learning, which University Libraries </w:t>
      </w:r>
      <w:r>
        <w:t xml:space="preserve">supports through special collections such as the Puerto Rican activist papers in the Young Lords collection. Another practice </w:t>
      </w:r>
      <w:r>
        <w:rPr>
          <w:spacing w:val="4"/>
        </w:rPr>
        <w:t xml:space="preserve">is first-year seminars and experiences, which are a significant focus of library orientation activities and customized library workshops. In a third example, liaison librarians and student research </w:t>
      </w:r>
      <w:r>
        <w:rPr>
          <w:spacing w:val="2"/>
        </w:rPr>
        <w:t xml:space="preserve">consultants work directly with Writing </w:t>
      </w:r>
      <w:r>
        <w:rPr>
          <w:spacing w:val="-2"/>
        </w:rPr>
        <w:t>150 courses (writing-intensive courses are also a high-impact practice) to support the</w:t>
      </w:r>
      <w:r>
        <w:rPr>
          <w:spacing w:val="2"/>
        </w:rPr>
        <w:t xml:space="preserve"> development of information literacy and critical thinking skills.</w:t>
      </w:r>
    </w:p>
    <w:p w14:paraId="3C7C8947" w14:textId="5853C4C7" w:rsidR="005D02C0" w:rsidRPr="002E68DE" w:rsidRDefault="005D02C0" w:rsidP="002E68DE">
      <w:pPr>
        <w:rPr>
          <w:spacing w:val="2"/>
        </w:rPr>
      </w:pPr>
      <w:r>
        <w:rPr>
          <w:spacing w:val="2"/>
        </w:rPr>
        <w:t xml:space="preserve">Each high-impact practice is actively supported by several library programs </w:t>
      </w:r>
      <w:r>
        <w:rPr>
          <w:spacing w:val="6"/>
        </w:rPr>
        <w:t xml:space="preserve">and resources, and each provides a rich potential for future assessment. </w:t>
      </w:r>
      <w:r>
        <w:rPr>
          <w:spacing w:val="-2"/>
        </w:rPr>
        <w:t xml:space="preserve">Library instruction is already part of the assessment plan; next could be exploration </w:t>
      </w:r>
      <w:r>
        <w:rPr>
          <w:spacing w:val="2"/>
        </w:rPr>
        <w:t xml:space="preserve">of additional high-impact practices, such as undergraduate research support in the libraries, group study and collaborative </w:t>
      </w:r>
      <w:r>
        <w:t xml:space="preserve">learning support, and community-based </w:t>
      </w:r>
      <w:r>
        <w:rPr>
          <w:spacing w:val="2"/>
        </w:rPr>
        <w:t>co-curricular programming.</w:t>
      </w:r>
    </w:p>
    <w:p w14:paraId="10AB4F00" w14:textId="77777777" w:rsidR="005D02C0" w:rsidRDefault="005D02C0" w:rsidP="002E68DE">
      <w:pPr>
        <w:pStyle w:val="Heading1"/>
        <w:rPr>
          <w:rFonts w:ascii="AGaramondPro-Regular" w:hAnsi="AGaramondPro-Regular" w:cs="AGaramondPro-Regular"/>
        </w:rPr>
      </w:pPr>
      <w:r>
        <w:t>Next Steps</w:t>
      </w:r>
    </w:p>
    <w:p w14:paraId="16A7DEC6" w14:textId="3E76344C" w:rsidR="005D02C0" w:rsidRPr="002E68DE" w:rsidRDefault="005D02C0" w:rsidP="002E68DE">
      <w:pPr>
        <w:rPr>
          <w:spacing w:val="-4"/>
        </w:rPr>
      </w:pPr>
      <w:r>
        <w:t xml:space="preserve">University Libraries, like all other academic units on campus, prepares an assessment plan and reports on results. </w:t>
      </w:r>
      <w:r>
        <w:rPr>
          <w:spacing w:val="-2"/>
        </w:rPr>
        <w:t xml:space="preserve">Every year there is at least one new way to evaluate the work of University Libraries, </w:t>
      </w:r>
      <w:r>
        <w:rPr>
          <w:spacing w:val="-4"/>
        </w:rPr>
        <w:t xml:space="preserve">whether large (like NSSE) or small (revising </w:t>
      </w:r>
      <w:r>
        <w:rPr>
          <w:spacing w:val="-2"/>
        </w:rPr>
        <w:t xml:space="preserve">workshop evaluation forms). Measurement </w:t>
      </w:r>
      <w:r>
        <w:rPr>
          <w:spacing w:val="-4"/>
        </w:rPr>
        <w:t xml:space="preserve">of direct student learning can be challenging because of the broad, interdisciplinary nature </w:t>
      </w:r>
      <w:r>
        <w:rPr>
          <w:spacing w:val="-2"/>
        </w:rPr>
        <w:t xml:space="preserve">of information literacy and because of the </w:t>
      </w:r>
      <w:r>
        <w:rPr>
          <w:spacing w:val="2"/>
        </w:rPr>
        <w:t xml:space="preserve">wide range of classes that our 17 liaison </w:t>
      </w:r>
      <w:r>
        <w:rPr>
          <w:spacing w:val="-2"/>
        </w:rPr>
        <w:t xml:space="preserve">librarians visit. Yet despite the complexity </w:t>
      </w:r>
      <w:r>
        <w:rPr>
          <w:spacing w:val="-4"/>
        </w:rPr>
        <w:t xml:space="preserve">of such measurements, University Libraries </w:t>
      </w:r>
      <w:r>
        <w:rPr>
          <w:spacing w:val="4"/>
        </w:rPr>
        <w:t xml:space="preserve">is committed to ongoing, meaningful </w:t>
      </w:r>
      <w:r>
        <w:rPr>
          <w:spacing w:val="-4"/>
        </w:rPr>
        <w:t xml:space="preserve">evaluation of library instructional programs </w:t>
      </w:r>
      <w:r>
        <w:rPr>
          <w:spacing w:val="2"/>
        </w:rPr>
        <w:t>and continually reflects on and revises p</w:t>
      </w:r>
      <w:r>
        <w:t>rograms to best meet the needs of the</w:t>
      </w:r>
      <w:r>
        <w:rPr>
          <w:spacing w:val="2"/>
        </w:rPr>
        <w:t xml:space="preserve"> </w:t>
      </w:r>
      <w:r>
        <w:rPr>
          <w:spacing w:val="-2"/>
        </w:rPr>
        <w:t>Grand Valley campus community.</w:t>
      </w:r>
    </w:p>
    <w:sectPr w:rsidR="005D02C0" w:rsidRPr="002E68DE" w:rsidSect="00AD7D29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AGaramondPro-Regular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GaramondPro-Bold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GaramondPro-Italic">
    <w:altName w:val="Times New Roman"/>
    <w:charset w:val="00"/>
    <w:family w:val="auto"/>
    <w:pitch w:val="variable"/>
    <w:sig w:usb0="00000001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2D"/>
    <w:rsid w:val="002E68DE"/>
    <w:rsid w:val="003F4E5B"/>
    <w:rsid w:val="004309A2"/>
    <w:rsid w:val="005D02C0"/>
    <w:rsid w:val="006E78FD"/>
    <w:rsid w:val="00A24A2D"/>
    <w:rsid w:val="00AD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9845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68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68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68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24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oParagraphStyle">
    <w:name w:val="[No Paragraph Style]"/>
    <w:rsid w:val="00A24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2E68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68D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2E68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6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E6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2</cp:revision>
  <dcterms:created xsi:type="dcterms:W3CDTF">2017-03-29T16:07:00Z</dcterms:created>
  <dcterms:modified xsi:type="dcterms:W3CDTF">2017-03-29T16:07:00Z</dcterms:modified>
</cp:coreProperties>
</file>